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Wu Qingfeng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BGIN BLOCKCHAIN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BGIN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80" w:type="dxa"/>
            <w:vAlign w:val="bottom"/>
          </w:tcPr>
          <w:p>
            <w:pPr>
              <w:ind w:left="280"/>
              <w:spacing w:after="0"/>
              <w:rPr>
                <w:sz w:val="20"/>
                <w:szCs w:val="20"/>
                <w:color w:val="auto"/>
              </w:rPr>
            </w:pPr>
            <w:r>
              <w:rPr>
                <w:rFonts w:ascii="Arial" w:cs="Arial" w:eastAsia="Arial" w:hAnsi="Arial"/>
                <w:sz w:val="15"/>
                <w:szCs w:val="15"/>
                <w:color w:val="auto"/>
              </w:rPr>
              <w:t>(First)</w:t>
            </w:r>
          </w:p>
        </w:tc>
        <w:tc>
          <w:tcPr>
            <w:tcW w:w="10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#09-12 PAYA LEBAR SQUARE</w:t>
            </w:r>
          </w:p>
        </w:tc>
      </w:tr>
      <w:tr>
        <w:trPr>
          <w:trHeight w:val="30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4"/>
              </w:rPr>
              <w:t>60 PAYA LEBAR ROAD</w:t>
            </w:r>
          </w:p>
        </w:tc>
        <w:tc>
          <w:tcPr>
            <w:tcW w:w="104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20"/>
                <w:szCs w:val="20"/>
                <w:color w:val="0000FF"/>
              </w:rPr>
              <w:t>409051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jc w:val="right"/>
              <w:ind w:right="317"/>
              <w:spacing w:after="0"/>
              <w:rPr>
                <w:sz w:val="20"/>
                <w:szCs w:val="20"/>
                <w:color w:val="auto"/>
              </w:rPr>
            </w:pPr>
            <w:r>
              <w:rPr>
                <w:rFonts w:ascii="Times New Roman" w:cs="Times New Roman" w:eastAsia="Times New Roman" w:hAnsi="Times New Roman"/>
                <w:sz w:val="20"/>
                <w:szCs w:val="20"/>
                <w:color w:val="0000FF"/>
              </w:rPr>
              <w:t>249,500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jc w:val="right"/>
              <w:ind w:right="197"/>
              <w:spacing w:after="0"/>
              <w:rPr>
                <w:sz w:val="20"/>
                <w:szCs w:val="20"/>
                <w:color w:val="auto"/>
              </w:rPr>
            </w:pPr>
            <w:r>
              <w:rPr>
                <w:rFonts w:ascii="Times New Roman" w:cs="Times New Roman" w:eastAsia="Times New Roman" w:hAnsi="Times New Roman"/>
                <w:sz w:val="20"/>
                <w:szCs w:val="20"/>
                <w:color w:val="0000FF"/>
              </w:rPr>
              <w:t>22,554,375</w:t>
            </w:r>
          </w:p>
        </w:tc>
        <w:tc>
          <w:tcPr>
            <w:tcW w:w="100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rPr>
              <w:t>I</w:t>
            </w:r>
          </w:p>
        </w:tc>
        <w:tc>
          <w:tcPr>
            <w:tcW w:w="3360" w:type="dxa"/>
            <w:vAlign w:val="bottom"/>
            <w:tcBorders>
              <w:bottom w:val="single" w:sz="8" w:color="2C2C2C"/>
            </w:tcBorders>
            <w:gridSpan w:val="4"/>
          </w:tcPr>
          <w:p>
            <w:pPr>
              <w:ind w:left="580"/>
              <w:spacing w:after="0"/>
              <w:rPr>
                <w:sz w:val="20"/>
                <w:szCs w:val="20"/>
                <w:color w:val="auto"/>
              </w:rPr>
            </w:pPr>
            <w:r>
              <w:rPr>
                <w:rFonts w:ascii="Times New Roman" w:cs="Times New Roman" w:eastAsia="Times New Roman" w:hAnsi="Times New Roman"/>
                <w:sz w:val="20"/>
                <w:szCs w:val="20"/>
                <w:color w:val="0000FF"/>
              </w:rPr>
              <w:t>By Decho Investment Limited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jc w:val="both"/>
        <w:ind w:left="40" w:right="14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22,554,375 Class B ordinary shares beneficially owned by Mr. Qingfeng Wu through Decho Investment Limited, a British Virgin Islands company, an entity wholly owned by Mister NK Limited, a British Virgin Islands company. Mister NK Limited is controlled by The Xiantaipai Trust, a trust managed by Dedao Trust Limited as trustee. Mr. Qingfeng Wu is the settlor of The Xiantaipai Trust. Under the terms of this trust, Mr. Qingfeng Wu has the power to direct the trustee with respect to the exercise of any voting and other rights attached to the shares held by Decho Investment Limited in the Company.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Qingfeng Wu</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1589" TargetMode="External"/><Relationship Id="rId11" Type="http://schemas.openxmlformats.org/officeDocument/2006/relationships/hyperlink" Target="http://www.sec.gov/cgi-bin/browse-edgar?action=getcompany&amp;CIK=00019455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2026-03-18T08:02:23Z</dcterms:created>
  <dcterms:modified xsi:type="dcterms:W3CDTF">2026-03-18T08:02:23Z</dcterms:modified>
</cp:coreProperties>
</file>