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717-6k_bgin.htm"/>
      <w:bookmarkStart w:id="1" w:name="ksea03057176k_bgin"/>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001-42908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#09-12 Paya Lebar Square</w:t>
        <w:br/>
        <w:t>60 Paya Lebar Road</w:t>
        <w:br/>
        <w:t>Singapore 409051</w:t>
        <w:br/>
        <w:t>+65 9658 5681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 is reporting its unaudited interim financial results for the six months ended and as of June 30, 2026. The unaudited interim financial results are attached hereto as 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571701ex99-1.htm">
              <w:r>
                <w:rPr>
                  <w:rStyle w:val="InternetLink"/>
                  <w:rFonts w:ascii="Times New Roman;Times;Serif" w:hAnsi="Times New Roman;Times;Serif"/>
                  <w:sz w:val="20"/>
                </w:rPr>
                <w:t>Condensed Consolidated Balance Sheets as of June 30, 2026 and December 31, 2025, Condensed Consolidated Statements of Operations for the Six Months Ended June 30, 2026 and 2025, and Condensed Consolidated Statements of Cash Flows for the Six Months Ended June 30, 2026 and 2025 of BGIN BLOCKCHAIN LIMITED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2135"/>
        <w:gridCol w:w="590"/>
        <w:gridCol w:w="2300"/>
      </w:tblGrid>
      <w:tr>
        <w:trPr/>
        <w:tc>
          <w:tcPr>
            <w:tcW w:w="213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BGIN BLOCKCHAIN LIMITED</w:t>
            </w:r>
          </w:p>
        </w:tc>
      </w:tr>
      <w:tr>
        <w:trPr/>
        <w:tc>
          <w:tcPr>
            <w:tcW w:w="2135"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25,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Qingfeng Wu</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Qingfeng Wu</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b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2" w:name="ea030571701ex99-1.htm"/>
      <w:bookmarkStart w:id="3" w:name="ksea030571701ex991"/>
      <w:bookmarkEnd w:id="2"/>
      <w:bookmarkEnd w:id="3"/>
      <w:r>
        <w:rPr>
          <w:b/>
        </w:rPr>
        <w:t>Exhibit 99.1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BGIN BLOCKCHAIN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br/>
        <w:t>AS OF JUNE 30, 2026 AND DECEMBER 31, 2025</w:t>
        <w:br/>
        <w:t xml:space="preserve">(US$, except for number of shares data, or otherwise noted)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5"/>
        <w:gridCol w:w="60"/>
        <w:gridCol w:w="60"/>
        <w:gridCol w:w="1100"/>
        <w:gridCol w:w="95"/>
        <w:gridCol w:w="60"/>
        <w:gridCol w:w="73"/>
        <w:gridCol w:w="1360"/>
        <w:gridCol w:w="112"/>
      </w:tblGrid>
      <w:tr>
        <w:trPr/>
        <w:tc>
          <w:tcPr>
            <w:tcW w:w="7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r>
              <w:rPr>
                <w:rFonts w:ascii="Times New Roman;Times;Serif" w:hAnsi="Times New Roman;Times;Serif"/>
                <w:b/>
                <w:sz w:val="20"/>
                <w:u w:val="single"/>
              </w:rPr>
              <w:br/>
            </w: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2" w:type="dxa"/>
            <w:tcBorders/>
            <w:vAlign w:val="center"/>
          </w:tcPr>
          <w:p>
            <w:pPr>
              <w:pStyle w:val="TableContents"/>
              <w:bidi w:val="0"/>
              <w:spacing w:before="0" w:after="283"/>
              <w:jc w:val="left"/>
              <w:rPr/>
            </w:pPr>
            <w:r>
              <w:rPr/>
              <w:t> </w:t>
            </w:r>
          </w:p>
        </w:tc>
      </w:tr>
      <w:tr>
        <w:trPr/>
        <w:tc>
          <w:tcPr>
            <w:tcW w:w="7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2" w:type="dxa"/>
            <w:tcBorders/>
            <w:vAlign w:val="center"/>
          </w:tcPr>
          <w:p>
            <w:pPr>
              <w:pStyle w:val="TableContents"/>
              <w:bidi w:val="0"/>
              <w:spacing w:before="0" w:after="283"/>
              <w:jc w:val="left"/>
              <w:rPr/>
            </w:pPr>
            <w:r>
              <w:rPr/>
              <w:t> </w:t>
            </w:r>
          </w:p>
        </w:tc>
      </w:tr>
      <w:tr>
        <w:trPr/>
        <w:tc>
          <w:tcPr>
            <w:tcW w:w="728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28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31,420,292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26,286,333</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123,876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9,544</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6,451,291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7,849,479</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2,752,552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6,112,779</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228,176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195,417</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949,914</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Intangible assets – cryptocurrencies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5,483,408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0" w:type="dxa"/>
            <w:tcBorders>
              <w:bottom w:val="single" w:sz="12" w:space="0" w:color="000000"/>
            </w:tcBorders>
            <w:shd w:fill="CCEEFF" w:val="clear"/>
            <w:tcMar>
              <w:bottom w:w="28" w:type="dxa"/>
            </w:tcMar>
            <w:vAlign w:val="center"/>
          </w:tcPr>
          <w:p>
            <w:pPr>
              <w:pStyle w:val="TableContents"/>
              <w:bidi w:val="0"/>
              <w:spacing w:before="0" w:after="283"/>
              <w:jc w:val="right"/>
              <w:rPr/>
            </w:pPr>
            <w:r>
              <w:rPr/>
              <w:t>22,450,733</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46,459,595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63,854,199</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Deposits and 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1,307,634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1,436,415</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1,983,523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227,320</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18,282,220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0" w:type="dxa"/>
            <w:tcBorders>
              <w:bottom w:val="single" w:sz="12" w:space="0" w:color="000000"/>
            </w:tcBorders>
            <w:shd w:fill="FFFFFF" w:val="clear"/>
            <w:tcMar>
              <w:bottom w:w="28" w:type="dxa"/>
            </w:tcMar>
            <w:vAlign w:val="center"/>
          </w:tcPr>
          <w:p>
            <w:pPr>
              <w:pStyle w:val="TableContents"/>
              <w:bidi w:val="0"/>
              <w:spacing w:before="0" w:after="283"/>
              <w:jc w:val="right"/>
              <w:rPr/>
            </w:pPr>
            <w:r>
              <w:rPr/>
              <w:t>27,317,731</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68,032,972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60" w:type="dxa"/>
            <w:tcBorders>
              <w:bottom w:val="double" w:sz="10" w:space="0" w:color="000000"/>
            </w:tcBorders>
            <w:shd w:fill="CCEEFF" w:val="clear"/>
            <w:tcMar>
              <w:bottom w:w="28" w:type="dxa"/>
            </w:tcMar>
            <w:vAlign w:val="center"/>
          </w:tcPr>
          <w:p>
            <w:pPr>
              <w:pStyle w:val="TableContents"/>
              <w:bidi w:val="0"/>
              <w:spacing w:before="0" w:after="283"/>
              <w:jc w:val="right"/>
              <w:rPr/>
            </w:pPr>
            <w:r>
              <w:rPr/>
              <w:t>92,835,665</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2,280,287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3,288,728</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34,057,113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34,086,665</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386,303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267,726</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23,781</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Operating lease liabilities –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571,531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131,672</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125,405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0" w:type="dxa"/>
            <w:tcBorders>
              <w:bottom w:val="single" w:sz="12" w:space="0" w:color="000000"/>
            </w:tcBorders>
            <w:shd w:fill="CCEEFF" w:val="clear"/>
            <w:tcMar>
              <w:bottom w:w="28" w:type="dxa"/>
            </w:tcMar>
            <w:vAlign w:val="center"/>
          </w:tcPr>
          <w:p>
            <w:pPr>
              <w:pStyle w:val="TableContents"/>
              <w:bidi w:val="0"/>
              <w:spacing w:before="0" w:after="283"/>
              <w:jc w:val="right"/>
              <w:rPr/>
            </w:pPr>
            <w:r>
              <w:rPr/>
              <w:t>199,384</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37,443,368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37,997,956</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Operating lease liabilities – non-current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1,420,894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0" w:type="dxa"/>
            <w:tcBorders>
              <w:bottom w:val="single" w:sz="12" w:space="0" w:color="000000"/>
            </w:tcBorders>
            <w:shd w:fill="FFFFFF" w:val="clear"/>
            <w:tcMar>
              <w:bottom w:w="28" w:type="dxa"/>
            </w:tcMar>
            <w:vAlign w:val="center"/>
          </w:tcPr>
          <w:p>
            <w:pPr>
              <w:pStyle w:val="TableContents"/>
              <w:bidi w:val="0"/>
              <w:spacing w:before="0" w:after="283"/>
              <w:jc w:val="right"/>
              <w:rPr/>
            </w:pPr>
            <w:r>
              <w:rPr/>
              <w:t>88,125</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38,864,262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360" w:type="dxa"/>
            <w:tcBorders>
              <w:bottom w:val="single" w:sz="12" w:space="0" w:color="000000"/>
            </w:tcBorders>
            <w:shd w:fill="CCEEFF" w:val="clear"/>
            <w:tcMar>
              <w:bottom w:w="28" w:type="dxa"/>
            </w:tcMar>
            <w:vAlign w:val="center"/>
          </w:tcPr>
          <w:p>
            <w:pPr>
              <w:pStyle w:val="TableContents"/>
              <w:bidi w:val="0"/>
              <w:spacing w:before="0" w:after="283"/>
              <w:jc w:val="right"/>
              <w:rPr/>
            </w:pPr>
            <w:r>
              <w:rPr/>
              <w:t>38,086,081</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285" w:type="dxa"/>
            <w:tcBorders/>
            <w:shd w:fill="CCEEFF" w:val="clear"/>
            <w:vAlign w:val="center"/>
          </w:tcPr>
          <w:p>
            <w:pPr>
              <w:pStyle w:val="TableContents"/>
              <w:bidi w:val="0"/>
              <w:spacing w:before="0" w:after="283"/>
              <w:jc w:val="left"/>
              <w:rPr/>
            </w:pPr>
            <w:r>
              <w:rPr/>
              <w:t>Class A ordinary shares, $0.0000695652173913043 par value, 852,581,250 shares authorized, 90,581,566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2,347</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7285" w:type="dxa"/>
            <w:tcBorders/>
            <w:shd w:fill="FFFFFF" w:val="clear"/>
            <w:vAlign w:val="center"/>
          </w:tcPr>
          <w:p>
            <w:pPr>
              <w:pStyle w:val="TableContents"/>
              <w:bidi w:val="0"/>
              <w:spacing w:before="0" w:after="283"/>
              <w:jc w:val="left"/>
              <w:rPr/>
            </w:pPr>
            <w:r>
              <w:rPr/>
              <w:t>Class B ordinary shares, $0.0000695652173913043 par value, 225,543,750 shares authorized, 22,554,375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523</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26,820,657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26,637,236</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2,473,936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28,096,362</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(244,059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0" w:type="dxa"/>
            <w:tcBorders>
              <w:bottom w:val="single" w:sz="12" w:space="0" w:color="000000"/>
            </w:tcBorders>
            <w:shd w:fill="CCEEFF" w:val="clear"/>
            <w:tcMar>
              <w:bottom w:w="28" w:type="dxa"/>
            </w:tcMar>
            <w:vAlign w:val="center"/>
          </w:tcPr>
          <w:p>
            <w:pPr>
              <w:pStyle w:val="TableContents"/>
              <w:bidi w:val="0"/>
              <w:spacing w:before="0" w:after="283"/>
              <w:jc w:val="right"/>
              <w:rPr/>
            </w:pPr>
            <w:r>
              <w:rPr/>
              <w:t>(244,059</w:t>
            </w:r>
          </w:p>
        </w:tc>
        <w:tc>
          <w:tcPr>
            <w:tcW w:w="112" w:type="dxa"/>
            <w:tcBorders/>
            <w:shd w:fill="CCEEFF" w:val="clear"/>
            <w:vAlign w:val="center"/>
          </w:tcPr>
          <w:p>
            <w:pPr>
              <w:pStyle w:val="TableContents"/>
              <w:bidi w:val="0"/>
              <w:spacing w:before="0" w:after="283"/>
              <w:jc w:val="left"/>
              <w:rPr/>
            </w:pPr>
            <w:r>
              <w:rPr/>
              <w:t>)</w:t>
            </w:r>
          </w:p>
        </w:tc>
      </w:tr>
      <w:tr>
        <w:trPr/>
        <w:tc>
          <w:tcPr>
            <w:tcW w:w="7285" w:type="dxa"/>
            <w:tcBorders/>
            <w:shd w:fill="FFFFFF" w:val="clear"/>
            <w:vAlign w:val="center"/>
          </w:tcPr>
          <w:p>
            <w:pPr>
              <w:pStyle w:val="TableContents"/>
              <w:bidi w:val="0"/>
              <w:spacing w:before="0" w:after="283"/>
              <w:jc w:val="left"/>
              <w:rPr>
                <w:b/>
              </w:rPr>
            </w:pPr>
            <w:r>
              <w:rPr>
                <w:b/>
              </w:rPr>
              <w:t>Total BGIN BLOCKCHAIN LIMITED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29,053,404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60" w:type="dxa"/>
            <w:tcBorders/>
            <w:shd w:fill="FFFFFF" w:val="clear"/>
            <w:vAlign w:val="center"/>
          </w:tcPr>
          <w:p>
            <w:pPr>
              <w:pStyle w:val="TableContents"/>
              <w:bidi w:val="0"/>
              <w:spacing w:before="0" w:after="283"/>
              <w:jc w:val="right"/>
              <w:rPr/>
            </w:pPr>
            <w:r>
              <w:rPr/>
              <w:t>54,492,409</w:t>
            </w:r>
          </w:p>
        </w:tc>
        <w:tc>
          <w:tcPr>
            <w:tcW w:w="112" w:type="dxa"/>
            <w:tcBorders/>
            <w:shd w:fill="FFFFFF" w:val="clear"/>
            <w:vAlign w:val="center"/>
          </w:tcPr>
          <w:p>
            <w:pPr>
              <w:pStyle w:val="TableContents"/>
              <w:bidi w:val="0"/>
              <w:spacing w:before="0" w:after="283"/>
              <w:jc w:val="left"/>
              <w:rPr/>
            </w:pPr>
            <w:r>
              <w:rPr/>
              <w:t> </w:t>
            </w:r>
          </w:p>
        </w:tc>
      </w:tr>
      <w:tr>
        <w:trPr/>
        <w:tc>
          <w:tcPr>
            <w:tcW w:w="7285"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115,306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0" w:type="dxa"/>
            <w:tcBorders>
              <w:bottom w:val="single" w:sz="12" w:space="0" w:color="000000"/>
            </w:tcBorders>
            <w:shd w:fill="CCEEFF" w:val="clear"/>
            <w:tcMar>
              <w:bottom w:w="28" w:type="dxa"/>
            </w:tcMar>
            <w:vAlign w:val="center"/>
          </w:tcPr>
          <w:p>
            <w:pPr>
              <w:pStyle w:val="TableContents"/>
              <w:bidi w:val="0"/>
              <w:spacing w:before="0" w:after="283"/>
              <w:jc w:val="right"/>
              <w:rPr/>
            </w:pPr>
            <w:r>
              <w:rPr/>
              <w:t>257,175</w:t>
            </w:r>
          </w:p>
        </w:tc>
        <w:tc>
          <w:tcPr>
            <w:tcW w:w="112" w:type="dxa"/>
            <w:tcBorders/>
            <w:shd w:fill="CCEEFF" w:val="clear"/>
            <w:vAlign w:val="center"/>
          </w:tcPr>
          <w:p>
            <w:pPr>
              <w:pStyle w:val="TableContents"/>
              <w:bidi w:val="0"/>
              <w:spacing w:before="0" w:after="283"/>
              <w:jc w:val="left"/>
              <w:rPr/>
            </w:pPr>
            <w:r>
              <w:rPr/>
              <w:t> </w:t>
            </w:r>
          </w:p>
        </w:tc>
      </w:tr>
      <w:tr>
        <w:trPr/>
        <w:tc>
          <w:tcPr>
            <w:tcW w:w="7285"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68,032,972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60" w:type="dxa"/>
            <w:tcBorders>
              <w:bottom w:val="double" w:sz="10" w:space="0" w:color="000000"/>
            </w:tcBorders>
            <w:shd w:fill="FFFFFF" w:val="clear"/>
            <w:tcMar>
              <w:bottom w:w="28" w:type="dxa"/>
            </w:tcMar>
            <w:vAlign w:val="center"/>
          </w:tcPr>
          <w:p>
            <w:pPr>
              <w:pStyle w:val="TableContents"/>
              <w:bidi w:val="0"/>
              <w:spacing w:before="0" w:after="283"/>
              <w:jc w:val="right"/>
              <w:rPr/>
            </w:pPr>
            <w:r>
              <w:rPr/>
              <w:t>92,835,665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BGIN BLOCKCHAIN LIMITED</w:t>
        <w:br/>
      </w:r>
      <w:r>
        <w:rPr>
          <w:rFonts w:ascii="Times New Roman;Times;Serif" w:hAnsi="Times New Roman;Times;Serif"/>
          <w:b/>
          <w:i w:val="false"/>
          <w:caps w:val="false"/>
          <w:smallCaps w:val="false"/>
          <w:sz w:val="20"/>
        </w:rPr>
        <w:t>CONDENSED CONSOLIDATED STATEMENTS OF OPERATIONS</w:t>
        <w:br/>
        <w:t>FOR THE SIX MONTHS ENDED JUNE 30, 2026 AND 2025</w:t>
        <w:br/>
        <w:t xml:space="preserve">(US$, except for number of shares data, or otherwise noted)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02"/>
        <w:gridCol w:w="60"/>
        <w:gridCol w:w="89"/>
        <w:gridCol w:w="1848"/>
        <w:gridCol w:w="95"/>
        <w:gridCol w:w="60"/>
        <w:gridCol w:w="89"/>
        <w:gridCol w:w="1848"/>
        <w:gridCol w:w="114"/>
      </w:tblGrid>
      <w:tr>
        <w:trPr/>
        <w:tc>
          <w:tcPr>
            <w:tcW w:w="60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Six Months Ended </w:t>
              <w:b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Six Months Ended </w:t>
              <w:br/>
              <w:t xml:space="preserve">June 30, </w:t>
              <w:br/>
              <w:t>2025</w:t>
            </w:r>
          </w:p>
        </w:tc>
        <w:tc>
          <w:tcPr>
            <w:tcW w:w="114" w:type="dxa"/>
            <w:tcBorders/>
            <w:vAlign w:val="center"/>
          </w:tcPr>
          <w:p>
            <w:pPr>
              <w:pStyle w:val="TableContents"/>
              <w:bidi w:val="0"/>
              <w:spacing w:before="0" w:after="283"/>
              <w:jc w:val="left"/>
              <w:rPr/>
            </w:pPr>
            <w:r>
              <w:rPr/>
              <w:t> </w:t>
            </w:r>
          </w:p>
        </w:tc>
      </w:tr>
      <w:tr>
        <w:trPr/>
        <w:tc>
          <w:tcPr>
            <w:tcW w:w="60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4" w:type="dxa"/>
            <w:tcBorders/>
            <w:vAlign w:val="center"/>
          </w:tcPr>
          <w:p>
            <w:pPr>
              <w:pStyle w:val="TableContents"/>
              <w:bidi w:val="0"/>
              <w:spacing w:before="0" w:after="283"/>
              <w:jc w:val="left"/>
              <w:rPr/>
            </w:pPr>
            <w:r>
              <w:rPr/>
              <w:t> </w:t>
            </w:r>
          </w:p>
        </w:tc>
      </w:tr>
      <w:tr>
        <w:trPr/>
        <w:tc>
          <w:tcPr>
            <w:tcW w:w="6002"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93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7"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Mining revenue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5,810,103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30,797,322</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pPr>
            <w:r>
              <w:rPr/>
              <w:t>Sales of mining machines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1,023,210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9,733,185</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Hosting revenue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347,609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2,311,069</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pPr>
            <w:r>
              <w:rPr/>
              <w:t>Mining pool revenue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192,791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4,822,098</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2,118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FFFFFF" w:val="clear"/>
            <w:tcMar>
              <w:bottom w:w="28" w:type="dxa"/>
            </w:tcMar>
            <w:vAlign w:val="center"/>
          </w:tcPr>
          <w:p>
            <w:pPr>
              <w:pStyle w:val="TableContents"/>
              <w:bidi w:val="0"/>
              <w:spacing w:before="0" w:after="283"/>
              <w:jc w:val="right"/>
              <w:rPr/>
            </w:pPr>
            <w:r>
              <w:rPr/>
              <w:t>7,375,831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FFFFFF" w:val="clear"/>
            <w:tcMar>
              <w:bottom w:w="28" w:type="dxa"/>
            </w:tcMar>
            <w:vAlign w:val="center"/>
          </w:tcPr>
          <w:p>
            <w:pPr>
              <w:pStyle w:val="TableContents"/>
              <w:bidi w:val="0"/>
              <w:spacing w:before="0" w:after="283"/>
              <w:jc w:val="right"/>
              <w:rPr/>
            </w:pPr>
            <w:r>
              <w:rPr/>
              <w:t>47,663,674</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b/>
              </w:rPr>
            </w:pPr>
            <w:r>
              <w:rPr>
                <w:b/>
              </w:rPr>
              <w:t>Costs of Revenues: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pPr>
            <w:r>
              <w:rPr/>
              <w:t>Costs of mining revenue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8,994,121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39,903,509</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Costs of sales of mining machines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7,721,229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7,494,999</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pPr>
            <w:r>
              <w:rPr/>
              <w:t>Costs of hosting revenue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343,497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1,799,401</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Costs of mining pool revenue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190,882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4,774,340</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FFFFFF" w:val="clear"/>
            <w:tcMar>
              <w:bottom w:w="28" w:type="dxa"/>
            </w:tcMar>
            <w:vAlign w:val="center"/>
          </w:tcPr>
          <w:p>
            <w:pPr>
              <w:pStyle w:val="TableContents"/>
              <w:bidi w:val="0"/>
              <w:spacing w:before="0" w:after="283"/>
              <w:jc w:val="right"/>
              <w:rPr/>
            </w:pPr>
            <w:r>
              <w:rPr/>
              <w:t>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Total costs of revenues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17,250,152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53,972,249</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b/>
              </w:rPr>
            </w:pPr>
            <w:r>
              <w:rPr>
                <w:b/>
              </w:rPr>
              <w:t>Gross loss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(9,874,321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(6,308,575</w:t>
            </w:r>
          </w:p>
        </w:tc>
        <w:tc>
          <w:tcPr>
            <w:tcW w:w="114" w:type="dxa"/>
            <w:tcBorders/>
            <w:shd w:fill="FFFFFF" w:val="clear"/>
            <w:vAlign w:val="center"/>
          </w:tcPr>
          <w:p>
            <w:pPr>
              <w:pStyle w:val="TableContents"/>
              <w:bidi w:val="0"/>
              <w:spacing w:before="0" w:after="283"/>
              <w:jc w:val="left"/>
              <w:rPr/>
            </w:pPr>
            <w:r>
              <w:rPr/>
              <w:t>)</w:t>
            </w:r>
          </w:p>
        </w:tc>
      </w:tr>
      <w:tr>
        <w:trPr/>
        <w:tc>
          <w:tcPr>
            <w:tcW w:w="60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b/>
              </w:rPr>
            </w:pPr>
            <w:r>
              <w:rPr>
                <w:b/>
              </w:rPr>
              <w:t>Operating costs and expenses: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138,817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290,862</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4,508,353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13,477,903</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3,572,255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7,496,308</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pPr>
            <w:r>
              <w:rPr/>
              <w:t>Realized loss on future contracts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560,492</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6002" w:type="dxa"/>
            <w:tcBorders/>
            <w:shd w:fill="CCEEFF" w:val="clear"/>
            <w:vAlign w:val="center"/>
          </w:tcPr>
          <w:p>
            <w:pPr>
              <w:pStyle w:val="TableContents"/>
              <w:bidi w:val="0"/>
              <w:spacing w:before="0" w:after="283"/>
              <w:jc w:val="left"/>
              <w:rPr/>
            </w:pPr>
            <w:r>
              <w:rPr/>
              <w:t>Rewards earned from crypto short-term investments (right to receive cryptocurrencies)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(254,563</w:t>
            </w:r>
          </w:p>
        </w:tc>
        <w:tc>
          <w:tcPr>
            <w:tcW w:w="114" w:type="dxa"/>
            <w:tcBorders/>
            <w:shd w:fill="CCEEFF" w:val="clear"/>
            <w:vAlign w:val="center"/>
          </w:tcPr>
          <w:p>
            <w:pPr>
              <w:pStyle w:val="TableContents"/>
              <w:bidi w:val="0"/>
              <w:spacing w:before="0" w:after="283"/>
              <w:jc w:val="left"/>
              <w:rPr/>
            </w:pPr>
            <w:r>
              <w:rPr/>
              <w:t>)</w:t>
            </w:r>
          </w:p>
        </w:tc>
      </w:tr>
      <w:tr>
        <w:trPr/>
        <w:tc>
          <w:tcPr>
            <w:tcW w:w="6002" w:type="dxa"/>
            <w:tcBorders/>
            <w:shd w:fill="FFFFFF" w:val="clear"/>
            <w:vAlign w:val="center"/>
          </w:tcPr>
          <w:p>
            <w:pPr>
              <w:pStyle w:val="TableContents"/>
              <w:bidi w:val="0"/>
              <w:spacing w:before="0" w:after="283"/>
              <w:jc w:val="left"/>
              <w:rPr/>
            </w:pPr>
            <w:r>
              <w:rPr/>
              <w:t>Change in fair value of cryptocurrencies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4,026,164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14,374,757</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Impairment of property and equipment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3,949,734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19,124,349</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b/>
              </w:rPr>
            </w:pPr>
            <w:r>
              <w:rPr>
                <w:b/>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FFFFFF" w:val="clear"/>
            <w:tcMar>
              <w:bottom w:w="28" w:type="dxa"/>
            </w:tcMar>
            <w:vAlign w:val="center"/>
          </w:tcPr>
          <w:p>
            <w:pPr>
              <w:pStyle w:val="TableContents"/>
              <w:bidi w:val="0"/>
              <w:spacing w:before="0" w:after="283"/>
              <w:jc w:val="right"/>
              <w:rPr/>
            </w:pPr>
            <w:r>
              <w:rPr/>
              <w:t>16,195,323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FFFFFF" w:val="clear"/>
            <w:tcMar>
              <w:bottom w:w="28" w:type="dxa"/>
            </w:tcMar>
            <w:vAlign w:val="center"/>
          </w:tcPr>
          <w:p>
            <w:pPr>
              <w:pStyle w:val="TableContents"/>
              <w:bidi w:val="0"/>
              <w:spacing w:before="0" w:after="283"/>
              <w:jc w:val="right"/>
              <w:rPr/>
            </w:pPr>
            <w:r>
              <w:rPr/>
              <w:t>55,070,108</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(26,069,644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(61,378,683</w:t>
            </w:r>
          </w:p>
        </w:tc>
        <w:tc>
          <w:tcPr>
            <w:tcW w:w="114" w:type="dxa"/>
            <w:tcBorders/>
            <w:shd w:fill="FFFFFF" w:val="clear"/>
            <w:vAlign w:val="center"/>
          </w:tcPr>
          <w:p>
            <w:pPr>
              <w:pStyle w:val="TableContents"/>
              <w:bidi w:val="0"/>
              <w:spacing w:before="0" w:after="283"/>
              <w:jc w:val="left"/>
              <w:rPr/>
            </w:pPr>
            <w:r>
              <w:rPr/>
              <w:t>)</w:t>
            </w:r>
          </w:p>
        </w:tc>
      </w:tr>
      <w:tr>
        <w:trPr/>
        <w:tc>
          <w:tcPr>
            <w:tcW w:w="60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Foreign exchange loss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21,943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172,275</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(66,489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(900,549</w:t>
            </w:r>
          </w:p>
        </w:tc>
        <w:tc>
          <w:tcPr>
            <w:tcW w:w="114" w:type="dxa"/>
            <w:tcBorders/>
            <w:shd w:fill="FFFFFF" w:val="clear"/>
            <w:vAlign w:val="center"/>
          </w:tcPr>
          <w:p>
            <w:pPr>
              <w:pStyle w:val="TableContents"/>
              <w:bidi w:val="0"/>
              <w:spacing w:before="0" w:after="283"/>
              <w:jc w:val="left"/>
              <w:rPr/>
            </w:pPr>
            <w:r>
              <w:rPr/>
              <w:t>)</w:t>
            </w:r>
          </w:p>
        </w:tc>
      </w:tr>
      <w:tr>
        <w:trPr/>
        <w:tc>
          <w:tcPr>
            <w:tcW w:w="6002"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(260,803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(413,735</w:t>
            </w:r>
          </w:p>
        </w:tc>
        <w:tc>
          <w:tcPr>
            <w:tcW w:w="114" w:type="dxa"/>
            <w:tcBorders/>
            <w:shd w:fill="CCEEFF" w:val="clear"/>
            <w:vAlign w:val="center"/>
          </w:tcPr>
          <w:p>
            <w:pPr>
              <w:pStyle w:val="TableContents"/>
              <w:bidi w:val="0"/>
              <w:spacing w:before="0" w:after="283"/>
              <w:jc w:val="left"/>
              <w:rPr/>
            </w:pPr>
            <w:r>
              <w:rPr/>
              <w:t>)</w:t>
            </w:r>
          </w:p>
        </w:tc>
      </w:tr>
      <w:tr>
        <w:trPr/>
        <w:tc>
          <w:tcPr>
            <w:tcW w:w="6002" w:type="dxa"/>
            <w:tcBorders/>
            <w:shd w:fill="FFFFFF" w:val="clear"/>
            <w:vAlign w:val="center"/>
          </w:tcPr>
          <w:p>
            <w:pPr>
              <w:pStyle w:val="TableContents"/>
              <w:bidi w:val="0"/>
              <w:spacing w:before="0" w:after="283"/>
              <w:jc w:val="left"/>
              <w:rPr>
                <w:b/>
              </w:rPr>
            </w:pPr>
            <w:r>
              <w:rPr>
                <w:b/>
              </w:rPr>
              <w:t>Total other income</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FFFFFF" w:val="clear"/>
            <w:tcMar>
              <w:bottom w:w="28" w:type="dxa"/>
            </w:tcMar>
            <w:vAlign w:val="center"/>
          </w:tcPr>
          <w:p>
            <w:pPr>
              <w:pStyle w:val="TableContents"/>
              <w:bidi w:val="0"/>
              <w:spacing w:before="0" w:after="283"/>
              <w:jc w:val="right"/>
              <w:rPr/>
            </w:pPr>
            <w:r>
              <w:rPr/>
              <w:t>(305,349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FFFFFF" w:val="clear"/>
            <w:tcMar>
              <w:bottom w:w="28" w:type="dxa"/>
            </w:tcMar>
            <w:vAlign w:val="center"/>
          </w:tcPr>
          <w:p>
            <w:pPr>
              <w:pStyle w:val="TableContents"/>
              <w:bidi w:val="0"/>
              <w:spacing w:before="0" w:after="283"/>
              <w:jc w:val="right"/>
              <w:rPr/>
            </w:pPr>
            <w:r>
              <w:rPr/>
              <w:t>(1,142,009</w:t>
            </w:r>
          </w:p>
        </w:tc>
        <w:tc>
          <w:tcPr>
            <w:tcW w:w="114" w:type="dxa"/>
            <w:tcBorders/>
            <w:shd w:fill="FFFFFF" w:val="clear"/>
            <w:vAlign w:val="center"/>
          </w:tcPr>
          <w:p>
            <w:pPr>
              <w:pStyle w:val="TableContents"/>
              <w:bidi w:val="0"/>
              <w:spacing w:before="0" w:after="283"/>
              <w:jc w:val="left"/>
              <w:rPr/>
            </w:pPr>
            <w:r>
              <w:rPr/>
              <w:t>)</w:t>
            </w:r>
          </w:p>
        </w:tc>
      </w:tr>
      <w:tr>
        <w:trPr/>
        <w:tc>
          <w:tcPr>
            <w:tcW w:w="60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b/>
              </w:rPr>
            </w:pPr>
            <w:r>
              <w:rPr>
                <w:b/>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(25,764,295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(60,236,674</w:t>
            </w:r>
          </w:p>
        </w:tc>
        <w:tc>
          <w:tcPr>
            <w:tcW w:w="114" w:type="dxa"/>
            <w:tcBorders/>
            <w:shd w:fill="FFFFFF" w:val="clear"/>
            <w:vAlign w:val="center"/>
          </w:tcPr>
          <w:p>
            <w:pPr>
              <w:pStyle w:val="TableContents"/>
              <w:bidi w:val="0"/>
              <w:spacing w:before="0" w:after="283"/>
              <w:jc w:val="left"/>
              <w:rPr/>
            </w:pPr>
            <w:r>
              <w:rPr/>
              <w:t>)</w:t>
            </w:r>
          </w:p>
        </w:tc>
      </w:tr>
      <w:tr>
        <w:trPr/>
        <w:tc>
          <w:tcPr>
            <w:tcW w:w="6002"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169,047</w:t>
            </w:r>
          </w:p>
        </w:tc>
        <w:tc>
          <w:tcPr>
            <w:tcW w:w="114" w:type="dxa"/>
            <w:tcBorders/>
            <w:shd w:fill="CCEEFF" w:val="clear"/>
            <w:vAlign w:val="center"/>
          </w:tcPr>
          <w:p>
            <w:pPr>
              <w:pStyle w:val="TableContents"/>
              <w:bidi w:val="0"/>
              <w:spacing w:before="0" w:after="283"/>
              <w:jc w:val="left"/>
              <w:rPr/>
            </w:pPr>
            <w:r>
              <w:rPr/>
              <w:t> </w:t>
            </w:r>
          </w:p>
        </w:tc>
      </w:tr>
      <w:tr>
        <w:trPr/>
        <w:tc>
          <w:tcPr>
            <w:tcW w:w="60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(25,764,295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(60,405,721</w:t>
            </w:r>
          </w:p>
        </w:tc>
        <w:tc>
          <w:tcPr>
            <w:tcW w:w="114" w:type="dxa"/>
            <w:tcBorders/>
            <w:shd w:fill="CCEEFF" w:val="clear"/>
            <w:vAlign w:val="center"/>
          </w:tcPr>
          <w:p>
            <w:pPr>
              <w:pStyle w:val="TableContents"/>
              <w:bidi w:val="0"/>
              <w:spacing w:before="0" w:after="283"/>
              <w:jc w:val="left"/>
              <w:rPr/>
            </w:pPr>
            <w:r>
              <w:rPr/>
              <w:t>)</w:t>
            </w:r>
          </w:p>
        </w:tc>
      </w:tr>
      <w:tr>
        <w:trPr/>
        <w:tc>
          <w:tcPr>
            <w:tcW w:w="6002" w:type="dxa"/>
            <w:tcBorders/>
            <w:shd w:fill="FFFFFF" w:val="clear"/>
            <w:vAlign w:val="center"/>
          </w:tcPr>
          <w:p>
            <w:pPr>
              <w:pStyle w:val="TableContents"/>
              <w:bidi w:val="0"/>
              <w:spacing w:before="0" w:after="283"/>
              <w:jc w:val="left"/>
              <w:rPr/>
            </w:pPr>
            <w:r>
              <w:rPr/>
              <w:t>Net (loss)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(141,869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48" w:type="dxa"/>
            <w:tcBorders/>
            <w:shd w:fill="FFFFFF" w:val="clear"/>
            <w:vAlign w:val="center"/>
          </w:tcPr>
          <w:p>
            <w:pPr>
              <w:pStyle w:val="TableContents"/>
              <w:bidi w:val="0"/>
              <w:spacing w:before="0" w:after="283"/>
              <w:jc w:val="right"/>
              <w:rPr/>
            </w:pPr>
            <w:r>
              <w:rPr/>
              <w:t>11,281</w:t>
            </w:r>
          </w:p>
        </w:tc>
        <w:tc>
          <w:tcPr>
            <w:tcW w:w="114" w:type="dxa"/>
            <w:tcBorders/>
            <w:shd w:fill="FFFFFF" w:val="clear"/>
            <w:vAlign w:val="center"/>
          </w:tcPr>
          <w:p>
            <w:pPr>
              <w:pStyle w:val="TableContents"/>
              <w:bidi w:val="0"/>
              <w:spacing w:before="0" w:after="283"/>
              <w:jc w:val="left"/>
              <w:rPr/>
            </w:pPr>
            <w:r>
              <w:rPr/>
              <w:t> </w:t>
            </w:r>
          </w:p>
        </w:tc>
      </w:tr>
      <w:tr>
        <w:trPr/>
        <w:tc>
          <w:tcPr>
            <w:tcW w:w="6002" w:type="dxa"/>
            <w:tcBorders/>
            <w:shd w:fill="CCEEFF" w:val="clear"/>
            <w:vAlign w:val="center"/>
          </w:tcPr>
          <w:p>
            <w:pPr>
              <w:pStyle w:val="TableContents"/>
              <w:bidi w:val="0"/>
              <w:spacing w:before="0" w:after="283"/>
              <w:jc w:val="left"/>
              <w:rPr/>
            </w:pPr>
            <w:r>
              <w:rPr/>
              <w:t>Net loss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(25,622,426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8" w:type="dxa"/>
            <w:tcBorders>
              <w:bottom w:val="single" w:sz="12" w:space="0" w:color="000000"/>
            </w:tcBorders>
            <w:shd w:fill="CCEEFF" w:val="clear"/>
            <w:tcMar>
              <w:bottom w:w="28" w:type="dxa"/>
            </w:tcMar>
            <w:vAlign w:val="center"/>
          </w:tcPr>
          <w:p>
            <w:pPr>
              <w:pStyle w:val="TableContents"/>
              <w:bidi w:val="0"/>
              <w:spacing w:before="0" w:after="283"/>
              <w:jc w:val="right"/>
              <w:rPr/>
            </w:pPr>
            <w:r>
              <w:rPr/>
              <w:t>(60,417,002</w:t>
            </w:r>
          </w:p>
        </w:tc>
        <w:tc>
          <w:tcPr>
            <w:tcW w:w="114" w:type="dxa"/>
            <w:tcBorders/>
            <w:shd w:fill="CCEEFF" w:val="clear"/>
            <w:vAlign w:val="center"/>
          </w:tcPr>
          <w:p>
            <w:pPr>
              <w:pStyle w:val="TableContents"/>
              <w:bidi w:val="0"/>
              <w:spacing w:before="0" w:after="283"/>
              <w:jc w:val="left"/>
              <w:rPr/>
            </w:pPr>
            <w:r>
              <w:rPr/>
              <w:t>)</w:t>
            </w:r>
          </w:p>
        </w:tc>
      </w:tr>
      <w:tr>
        <w:trPr/>
        <w:tc>
          <w:tcPr>
            <w:tcW w:w="6002"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double" w:sz="10" w:space="0" w:color="000000"/>
            </w:tcBorders>
            <w:shd w:fill="FFFFFF" w:val="clear"/>
            <w:tcMar>
              <w:bottom w:w="28" w:type="dxa"/>
            </w:tcMar>
            <w:vAlign w:val="center"/>
          </w:tcPr>
          <w:p>
            <w:pPr>
              <w:pStyle w:val="TableContents"/>
              <w:bidi w:val="0"/>
              <w:spacing w:before="0" w:after="283"/>
              <w:jc w:val="right"/>
              <w:rPr/>
            </w:pPr>
            <w:r>
              <w:rPr/>
              <w:t>(25,764,295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double" w:sz="10" w:space="0" w:color="000000"/>
            </w:tcBorders>
            <w:shd w:fill="FFFFFF" w:val="clear"/>
            <w:tcMar>
              <w:bottom w:w="28" w:type="dxa"/>
            </w:tcMar>
            <w:vAlign w:val="center"/>
          </w:tcPr>
          <w:p>
            <w:pPr>
              <w:pStyle w:val="TableContents"/>
              <w:bidi w:val="0"/>
              <w:spacing w:before="0" w:after="283"/>
              <w:jc w:val="right"/>
              <w:rPr/>
            </w:pPr>
            <w:r>
              <w:rPr/>
              <w:t>(60,405,721</w:t>
            </w:r>
          </w:p>
        </w:tc>
        <w:tc>
          <w:tcPr>
            <w:tcW w:w="114" w:type="dxa"/>
            <w:tcBorders/>
            <w:shd w:fill="FFFFFF" w:val="clear"/>
            <w:vAlign w:val="center"/>
          </w:tcPr>
          <w:p>
            <w:pPr>
              <w:pStyle w:val="TableContents"/>
              <w:bidi w:val="0"/>
              <w:spacing w:before="0" w:after="283"/>
              <w:jc w:val="left"/>
              <w:rPr/>
            </w:pPr>
            <w:r>
              <w:rPr/>
              <w:t>)</w:t>
            </w:r>
          </w:p>
        </w:tc>
      </w:tr>
      <w:tr>
        <w:trPr/>
        <w:tc>
          <w:tcPr>
            <w:tcW w:w="60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002" w:type="dxa"/>
            <w:tcBorders/>
            <w:shd w:fill="FFFFFF" w:val="clear"/>
            <w:vAlign w:val="center"/>
          </w:tcPr>
          <w:p>
            <w:pPr>
              <w:pStyle w:val="TableContents"/>
              <w:bidi w:val="0"/>
              <w:spacing w:before="0" w:after="283"/>
              <w:jc w:val="left"/>
              <w:rPr>
                <w:b/>
              </w:rPr>
            </w:pPr>
            <w:r>
              <w:rPr>
                <w:b/>
              </w:rPr>
              <w:t>Losses per share attribute to BGIN BLOCKCHAIN LIMITED ordinary shareholders*-basic &amp; diluted</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double" w:sz="10" w:space="0" w:color="000000"/>
            </w:tcBorders>
            <w:shd w:fill="FFFFFF" w:val="clear"/>
            <w:tcMar>
              <w:bottom w:w="28" w:type="dxa"/>
            </w:tcMar>
            <w:vAlign w:val="center"/>
          </w:tcPr>
          <w:p>
            <w:pPr>
              <w:pStyle w:val="TableContents"/>
              <w:bidi w:val="0"/>
              <w:spacing w:before="0" w:after="283"/>
              <w:jc w:val="right"/>
              <w:rPr/>
            </w:pPr>
            <w:r>
              <w:rPr/>
              <w:t>(0.23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double" w:sz="10" w:space="0" w:color="000000"/>
            </w:tcBorders>
            <w:shd w:fill="FFFFFF" w:val="clear"/>
            <w:tcMar>
              <w:bottom w:w="28" w:type="dxa"/>
            </w:tcMar>
            <w:vAlign w:val="center"/>
          </w:tcPr>
          <w:p>
            <w:pPr>
              <w:pStyle w:val="TableContents"/>
              <w:bidi w:val="0"/>
              <w:spacing w:before="0" w:after="283"/>
              <w:jc w:val="right"/>
              <w:rPr/>
            </w:pPr>
            <w:r>
              <w:rPr/>
              <w:t>(0.56</w:t>
            </w:r>
          </w:p>
        </w:tc>
        <w:tc>
          <w:tcPr>
            <w:tcW w:w="114" w:type="dxa"/>
            <w:tcBorders/>
            <w:shd w:fill="FFFFFF" w:val="clear"/>
            <w:vAlign w:val="center"/>
          </w:tcPr>
          <w:p>
            <w:pPr>
              <w:pStyle w:val="TableContents"/>
              <w:bidi w:val="0"/>
              <w:spacing w:before="0" w:after="283"/>
              <w:jc w:val="left"/>
              <w:rPr/>
            </w:pPr>
            <w:r>
              <w:rPr/>
              <w:t>)</w:t>
            </w:r>
          </w:p>
        </w:tc>
      </w:tr>
      <w:tr>
        <w:trPr/>
        <w:tc>
          <w:tcPr>
            <w:tcW w:w="60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6002" w:type="dxa"/>
            <w:tcBorders/>
            <w:shd w:fill="FFFFFF" w:val="clear"/>
            <w:vAlign w:val="center"/>
          </w:tcPr>
          <w:p>
            <w:pPr>
              <w:pStyle w:val="TableContents"/>
              <w:bidi w:val="0"/>
              <w:spacing w:before="0" w:after="283"/>
              <w:jc w:val="left"/>
              <w:rPr>
                <w:b/>
              </w:rPr>
            </w:pPr>
            <w:r>
              <w:rPr>
                <w:b/>
              </w:rPr>
              <w:t>Weighted average number of Class A and Class B ordinary shares outstanding*-basic and diluted</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double" w:sz="10" w:space="0" w:color="000000"/>
            </w:tcBorders>
            <w:shd w:fill="FFFFFF" w:val="clear"/>
            <w:tcMar>
              <w:bottom w:w="28" w:type="dxa"/>
            </w:tcMar>
            <w:vAlign w:val="center"/>
          </w:tcPr>
          <w:p>
            <w:pPr>
              <w:pStyle w:val="TableContents"/>
              <w:bidi w:val="0"/>
              <w:spacing w:before="0" w:after="283"/>
              <w:jc w:val="right"/>
              <w:rPr/>
            </w:pPr>
            <w:r>
              <w:rPr/>
              <w:t>113,135,941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8" w:type="dxa"/>
            <w:tcBorders>
              <w:bottom w:val="double" w:sz="10" w:space="0" w:color="000000"/>
            </w:tcBorders>
            <w:shd w:fill="FFFFFF" w:val="clear"/>
            <w:tcMar>
              <w:bottom w:w="28" w:type="dxa"/>
            </w:tcMar>
            <w:vAlign w:val="center"/>
          </w:tcPr>
          <w:p>
            <w:pPr>
              <w:pStyle w:val="TableContents"/>
              <w:bidi w:val="0"/>
              <w:spacing w:before="0" w:after="283"/>
              <w:jc w:val="right"/>
              <w:rPr/>
            </w:pPr>
            <w:r>
              <w:rPr/>
              <w:t>108,059,102</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1004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number of ordinary shares has been retrospectively adjusted for the 1-for-10 share subdivision effected on February 3, 2025 (the “February 2025 Share Subdivision”), the increase of share capital effected on February 3, 2025 (the “Share Capital Increase”) and the issuance of an aggregate of 19,770,000 Class A ordinary shares and 5,230,000 Class B ordinary shares on February 3, 2025 to existing shareholders of BGIN BLOCKCHAIN LIMITED on a pro rata basis (the “Share Issuance”), and the 1-for-1.4375 share subdivision effected on July 16, 2025 (the “July 2025 Share Subdivision”)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BGIN BLOCKCHAIN LIMITED</w:t>
        <w:br/>
      </w:r>
      <w:r>
        <w:rPr>
          <w:rFonts w:ascii="Times New Roman;Times;Serif" w:hAnsi="Times New Roman;Times;Serif"/>
          <w:b/>
          <w:i w:val="false"/>
          <w:caps w:val="false"/>
          <w:smallCaps w:val="false"/>
          <w:sz w:val="20"/>
        </w:rPr>
        <w:t>CONDENSED CONSOLIDATED STATEMENTS OF CASH FLOWS</w:t>
        <w:br/>
        <w:t>FOR THE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83"/>
        <w:gridCol w:w="60"/>
        <w:gridCol w:w="93"/>
        <w:gridCol w:w="1855"/>
        <w:gridCol w:w="95"/>
        <w:gridCol w:w="60"/>
        <w:gridCol w:w="85"/>
        <w:gridCol w:w="1863"/>
        <w:gridCol w:w="111"/>
      </w:tblGrid>
      <w:tr>
        <w:trPr/>
        <w:tc>
          <w:tcPr>
            <w:tcW w:w="59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Six Months Ended </w:t>
              <w:b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Six Months Ended </w:t>
              <w:br/>
              <w:t xml:space="preserve">June 30, </w:t>
              <w:br/>
              <w:t>2025</w:t>
            </w:r>
          </w:p>
        </w:tc>
        <w:tc>
          <w:tcPr>
            <w:tcW w:w="111" w:type="dxa"/>
            <w:tcBorders/>
            <w:vAlign w:val="center"/>
          </w:tcPr>
          <w:p>
            <w:pPr>
              <w:pStyle w:val="TableContents"/>
              <w:bidi w:val="0"/>
              <w:spacing w:before="0" w:after="283"/>
              <w:jc w:val="left"/>
              <w:rPr/>
            </w:pPr>
            <w:r>
              <w:rPr/>
              <w:t> </w:t>
            </w:r>
          </w:p>
        </w:tc>
      </w:tr>
      <w:tr>
        <w:trPr/>
        <w:tc>
          <w:tcPr>
            <w:tcW w:w="59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1" w:type="dxa"/>
            <w:tcBorders/>
            <w:vAlign w:val="center"/>
          </w:tcPr>
          <w:p>
            <w:pPr>
              <w:pStyle w:val="TableContents"/>
              <w:bidi w:val="0"/>
              <w:spacing w:before="0" w:after="283"/>
              <w:jc w:val="left"/>
              <w:rPr/>
            </w:pPr>
            <w:r>
              <w:rPr/>
              <w:t> </w:t>
            </w:r>
          </w:p>
        </w:tc>
      </w:tr>
      <w:tr>
        <w:trPr/>
        <w:tc>
          <w:tcPr>
            <w:tcW w:w="5983" w:type="dxa"/>
            <w:tcBorders/>
            <w:vAlign w:val="center"/>
          </w:tcPr>
          <w:p>
            <w:pPr>
              <w:pStyle w:val="TableContents"/>
              <w:bidi w:val="0"/>
              <w:spacing w:before="0" w:after="283"/>
              <w:jc w:val="left"/>
              <w:rPr/>
            </w:pPr>
            <w:r>
              <w:rPr/>
              <w:t>Cash Flows from Operating Activities:</w:t>
            </w:r>
          </w:p>
        </w:tc>
        <w:tc>
          <w:tcPr>
            <w:tcW w:w="60" w:type="dxa"/>
            <w:tcBorders/>
            <w:vAlign w:val="center"/>
          </w:tcPr>
          <w:p>
            <w:pPr>
              <w:pStyle w:val="TableContents"/>
              <w:bidi w:val="0"/>
              <w:spacing w:before="0" w:after="283"/>
              <w:jc w:val="left"/>
              <w:rPr/>
            </w:pPr>
            <w:r>
              <w:rPr/>
              <w:t> </w:t>
            </w:r>
          </w:p>
        </w:tc>
        <w:tc>
          <w:tcPr>
            <w:tcW w:w="194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8"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(25,764,295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(60,405,721</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5983"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4,153,633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12,289,371</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Inventories provision and write-off</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6,878,392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5,410,874</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Impairment of property and equipment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3,949,734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19,124,349</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8,220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1,427,095</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Write-down of prepaid expenses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3,968,211</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Change in fair value of cryptocurrencies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4,026,164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14,374,757</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Cryptocurrencies mined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(5,883,638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(35,815,800</w:t>
            </w:r>
          </w:p>
        </w:tc>
        <w:tc>
          <w:tcPr>
            <w:tcW w:w="111" w:type="dxa"/>
            <w:tcBorders/>
            <w:shd w:fill="CCEEFF" w:val="clear"/>
            <w:vAlign w:val="center"/>
          </w:tcPr>
          <w:p>
            <w:pPr>
              <w:pStyle w:val="TableContents"/>
              <w:bidi w:val="0"/>
              <w:spacing w:before="0" w:after="283"/>
              <w:jc w:val="left"/>
              <w:rPr/>
            </w:pPr>
            <w:r>
              <w:rPr/>
              <w:t>)</w:t>
            </w:r>
          </w:p>
        </w:tc>
      </w:tr>
      <w:tr>
        <w:trPr/>
        <w:tc>
          <w:tcPr>
            <w:tcW w:w="5983" w:type="dxa"/>
            <w:tcBorders/>
            <w:shd w:fill="FFFFFF" w:val="clear"/>
            <w:vAlign w:val="center"/>
          </w:tcPr>
          <w:p>
            <w:pPr>
              <w:pStyle w:val="TableContents"/>
              <w:bidi w:val="0"/>
              <w:spacing w:before="0" w:after="283"/>
              <w:jc w:val="left"/>
              <w:rPr/>
            </w:pPr>
            <w:r>
              <w:rPr/>
              <w:t>Loss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35,130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104,438</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183,421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244,550</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Employee compensation settled by cryptocurrencies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353,437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568,700</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Expenses settled by cryptocurrencies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359,427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3,760,148</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Cryptocurrencies paid to mining pool participants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190,882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4,608,876</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Cryptocurrencies received from mining machine revenue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(215,216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(9,203,336</w:t>
            </w:r>
          </w:p>
        </w:tc>
        <w:tc>
          <w:tcPr>
            <w:tcW w:w="111" w:type="dxa"/>
            <w:tcBorders/>
            <w:shd w:fill="CCEEFF" w:val="clear"/>
            <w:vAlign w:val="center"/>
          </w:tcPr>
          <w:p>
            <w:pPr>
              <w:pStyle w:val="TableContents"/>
              <w:bidi w:val="0"/>
              <w:spacing w:before="0" w:after="283"/>
              <w:jc w:val="left"/>
              <w:rPr/>
            </w:pPr>
            <w:r>
              <w:rPr/>
              <w:t>)</w:t>
            </w:r>
          </w:p>
        </w:tc>
      </w:tr>
      <w:tr>
        <w:trPr/>
        <w:tc>
          <w:tcPr>
            <w:tcW w:w="5983" w:type="dxa"/>
            <w:tcBorders/>
            <w:shd w:fill="FFFFFF" w:val="clear"/>
            <w:vAlign w:val="center"/>
          </w:tcPr>
          <w:p>
            <w:pPr>
              <w:pStyle w:val="TableContents"/>
              <w:bidi w:val="0"/>
              <w:spacing w:before="0" w:after="283"/>
              <w:jc w:val="left"/>
              <w:rPr/>
            </w:pPr>
            <w:r>
              <w:rPr/>
              <w:t>Cryptocurrencies received from hosting revenue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(256,716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(2,153,822</w:t>
            </w:r>
          </w:p>
        </w:tc>
        <w:tc>
          <w:tcPr>
            <w:tcW w:w="111" w:type="dxa"/>
            <w:tcBorders/>
            <w:shd w:fill="FFFFFF" w:val="clear"/>
            <w:vAlign w:val="center"/>
          </w:tcPr>
          <w:p>
            <w:pPr>
              <w:pStyle w:val="TableContents"/>
              <w:bidi w:val="0"/>
              <w:spacing w:before="0" w:after="283"/>
              <w:jc w:val="left"/>
              <w:rPr/>
            </w:pPr>
            <w:r>
              <w:rPr/>
              <w:t>)</w:t>
            </w:r>
          </w:p>
        </w:tc>
      </w:tr>
      <w:tr>
        <w:trPr/>
        <w:tc>
          <w:tcPr>
            <w:tcW w:w="5983" w:type="dxa"/>
            <w:tcBorders/>
            <w:shd w:fill="CCEEFF" w:val="clear"/>
            <w:vAlign w:val="center"/>
          </w:tcPr>
          <w:p>
            <w:pPr>
              <w:pStyle w:val="TableContents"/>
              <w:bidi w:val="0"/>
              <w:spacing w:before="0" w:after="283"/>
              <w:jc w:val="left"/>
              <w:rPr/>
            </w:pPr>
            <w:r>
              <w:rPr/>
              <w:t>Realized loss on future contracts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560,492</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983" w:type="dxa"/>
            <w:tcBorders/>
            <w:shd w:fill="FFFFFF" w:val="clear"/>
            <w:vAlign w:val="center"/>
          </w:tcPr>
          <w:p>
            <w:pPr>
              <w:pStyle w:val="TableContents"/>
              <w:bidi w:val="0"/>
              <w:spacing w:before="0" w:after="283"/>
              <w:jc w:val="left"/>
              <w:rPr/>
            </w:pPr>
            <w:r>
              <w:rPr/>
              <w:t>Rewards earned from crypto short-term investments (right to receive cryptocurrencies)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(254,563</w:t>
            </w:r>
          </w:p>
        </w:tc>
        <w:tc>
          <w:tcPr>
            <w:tcW w:w="111" w:type="dxa"/>
            <w:tcBorders/>
            <w:shd w:fill="FFFFFF" w:val="clear"/>
            <w:vAlign w:val="center"/>
          </w:tcPr>
          <w:p>
            <w:pPr>
              <w:pStyle w:val="TableContents"/>
              <w:bidi w:val="0"/>
              <w:spacing w:before="0" w:after="283"/>
              <w:jc w:val="left"/>
              <w:rPr/>
            </w:pPr>
            <w:r>
              <w:rPr/>
              <w:t>)</w:t>
            </w:r>
          </w:p>
        </w:tc>
      </w:tr>
      <w:tr>
        <w:trPr/>
        <w:tc>
          <w:tcPr>
            <w:tcW w:w="5983" w:type="dxa"/>
            <w:tcBorders/>
            <w:shd w:fill="CCEEFF" w:val="clear"/>
            <w:vAlign w:val="center"/>
          </w:tcPr>
          <w:p>
            <w:pPr>
              <w:pStyle w:val="TableContents"/>
              <w:bidi w:val="0"/>
              <w:spacing w:before="0" w:after="283"/>
              <w:jc w:val="left"/>
              <w:rPr/>
            </w:pPr>
            <w:r>
              <w:rPr/>
              <w:t>Non-cash operating leases expense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144,677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105,158</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(5,515,461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(16,357,530</w:t>
            </w:r>
          </w:p>
        </w:tc>
        <w:tc>
          <w:tcPr>
            <w:tcW w:w="111" w:type="dxa"/>
            <w:tcBorders/>
            <w:shd w:fill="CCEEFF" w:val="clear"/>
            <w:vAlign w:val="center"/>
          </w:tcPr>
          <w:p>
            <w:pPr>
              <w:pStyle w:val="TableContents"/>
              <w:bidi w:val="0"/>
              <w:spacing w:before="0" w:after="283"/>
              <w:jc w:val="left"/>
              <w:rPr/>
            </w:pPr>
            <w:r>
              <w:rPr/>
              <w:t>)</w:t>
            </w:r>
          </w:p>
        </w:tc>
      </w:tr>
      <w:tr>
        <w:trPr/>
        <w:tc>
          <w:tcPr>
            <w:tcW w:w="5983"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3,489,008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(24,069,606</w:t>
            </w:r>
          </w:p>
        </w:tc>
        <w:tc>
          <w:tcPr>
            <w:tcW w:w="111" w:type="dxa"/>
            <w:tcBorders/>
            <w:shd w:fill="FFFFFF" w:val="clear"/>
            <w:vAlign w:val="center"/>
          </w:tcPr>
          <w:p>
            <w:pPr>
              <w:pStyle w:val="TableContents"/>
              <w:bidi w:val="0"/>
              <w:spacing w:before="0" w:after="283"/>
              <w:jc w:val="left"/>
              <w:rPr/>
            </w:pPr>
            <w:r>
              <w:rPr/>
              <w:t>)</w:t>
            </w:r>
          </w:p>
        </w:tc>
      </w:tr>
      <w:tr>
        <w:trPr/>
        <w:tc>
          <w:tcPr>
            <w:tcW w:w="5983"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(40,979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63,304</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(806,087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(1,818,263</w:t>
            </w:r>
          </w:p>
        </w:tc>
        <w:tc>
          <w:tcPr>
            <w:tcW w:w="111" w:type="dxa"/>
            <w:tcBorders/>
            <w:shd w:fill="FFFFFF" w:val="clear"/>
            <w:vAlign w:val="center"/>
          </w:tcPr>
          <w:p>
            <w:pPr>
              <w:pStyle w:val="TableContents"/>
              <w:bidi w:val="0"/>
              <w:spacing w:before="0" w:after="283"/>
              <w:jc w:val="left"/>
              <w:rPr/>
            </w:pPr>
            <w:r>
              <w:rPr/>
              <w:t>)</w:t>
            </w:r>
          </w:p>
        </w:tc>
      </w:tr>
      <w:tr>
        <w:trPr/>
        <w:tc>
          <w:tcPr>
            <w:tcW w:w="5983"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119,005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(27,746</w:t>
            </w:r>
          </w:p>
        </w:tc>
        <w:tc>
          <w:tcPr>
            <w:tcW w:w="111" w:type="dxa"/>
            <w:tcBorders/>
            <w:shd w:fill="CCEEFF" w:val="clear"/>
            <w:vAlign w:val="center"/>
          </w:tcPr>
          <w:p>
            <w:pPr>
              <w:pStyle w:val="TableContents"/>
              <w:bidi w:val="0"/>
              <w:spacing w:before="0" w:after="283"/>
              <w:jc w:val="left"/>
              <w:rPr/>
            </w:pPr>
            <w:r>
              <w:rPr/>
              <w:t>)</w:t>
            </w:r>
          </w:p>
        </w:tc>
      </w:tr>
      <w:tr>
        <w:trPr/>
        <w:tc>
          <w:tcPr>
            <w:tcW w:w="5983"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(29,552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(16,513,816</w:t>
            </w:r>
          </w:p>
        </w:tc>
        <w:tc>
          <w:tcPr>
            <w:tcW w:w="111" w:type="dxa"/>
            <w:tcBorders/>
            <w:shd w:fill="FFFFFF" w:val="clear"/>
            <w:vAlign w:val="center"/>
          </w:tcPr>
          <w:p>
            <w:pPr>
              <w:pStyle w:val="TableContents"/>
              <w:bidi w:val="0"/>
              <w:spacing w:before="0" w:after="283"/>
              <w:jc w:val="left"/>
              <w:rPr/>
            </w:pPr>
            <w:r>
              <w:rPr/>
              <w:t>)</w:t>
            </w:r>
          </w:p>
        </w:tc>
      </w:tr>
      <w:tr>
        <w:trPr/>
        <w:tc>
          <w:tcPr>
            <w:tcW w:w="5983" w:type="dxa"/>
            <w:tcBorders/>
            <w:shd w:fill="CCEEFF" w:val="clear"/>
            <w:vAlign w:val="center"/>
          </w:tcPr>
          <w:p>
            <w:pPr>
              <w:pStyle w:val="TableContents"/>
              <w:bidi w:val="0"/>
              <w:spacing w:before="0" w:after="283"/>
              <w:jc w:val="left"/>
              <w:rPr/>
            </w:pPr>
            <w:r>
              <w:rPr/>
              <w:t>Other payables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(64,598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(113,347</w:t>
            </w:r>
          </w:p>
        </w:tc>
        <w:tc>
          <w:tcPr>
            <w:tcW w:w="111" w:type="dxa"/>
            <w:tcBorders/>
            <w:shd w:fill="CCEEFF" w:val="clear"/>
            <w:vAlign w:val="center"/>
          </w:tcPr>
          <w:p>
            <w:pPr>
              <w:pStyle w:val="TableContents"/>
              <w:bidi w:val="0"/>
              <w:spacing w:before="0" w:after="283"/>
              <w:jc w:val="left"/>
              <w:rPr/>
            </w:pPr>
            <w:r>
              <w:rPr/>
              <w:t>)</w:t>
            </w:r>
          </w:p>
        </w:tc>
      </w:tr>
      <w:tr>
        <w:trPr/>
        <w:tc>
          <w:tcPr>
            <w:tcW w:w="5983"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(128,252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(118,704</w:t>
            </w:r>
          </w:p>
        </w:tc>
        <w:tc>
          <w:tcPr>
            <w:tcW w:w="111" w:type="dxa"/>
            <w:tcBorders/>
            <w:shd w:fill="FFFFFF" w:val="clear"/>
            <w:vAlign w:val="center"/>
          </w:tcPr>
          <w:p>
            <w:pPr>
              <w:pStyle w:val="TableContents"/>
              <w:bidi w:val="0"/>
              <w:spacing w:before="0" w:after="283"/>
              <w:jc w:val="left"/>
              <w:rPr/>
            </w:pPr>
            <w:r>
              <w:rPr/>
              <w:t>)</w:t>
            </w:r>
          </w:p>
        </w:tc>
      </w:tr>
      <w:tr>
        <w:trPr/>
        <w:tc>
          <w:tcPr>
            <w:tcW w:w="5983"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5" w:type="dxa"/>
            <w:tcBorders>
              <w:bottom w:val="single" w:sz="12" w:space="0" w:color="000000"/>
            </w:tcBorders>
            <w:shd w:fill="CCEEFF" w:val="clear"/>
            <w:tcMar>
              <w:bottom w:w="28" w:type="dxa"/>
            </w:tcMar>
            <w:vAlign w:val="center"/>
          </w:tcPr>
          <w:p>
            <w:pPr>
              <w:pStyle w:val="TableContents"/>
              <w:bidi w:val="0"/>
              <w:spacing w:before="0" w:after="283"/>
              <w:jc w:val="right"/>
              <w:rPr/>
            </w:pPr>
            <w:r>
              <w:rPr/>
              <w:t>(1,052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63" w:type="dxa"/>
            <w:tcBorders>
              <w:bottom w:val="single" w:sz="12" w:space="0" w:color="000000"/>
            </w:tcBorders>
            <w:shd w:fill="CCEEFF" w:val="clear"/>
            <w:tcMar>
              <w:bottom w:w="28" w:type="dxa"/>
            </w:tcMar>
            <w:vAlign w:val="center"/>
          </w:tcPr>
          <w:p>
            <w:pPr>
              <w:pStyle w:val="TableContents"/>
              <w:bidi w:val="0"/>
              <w:spacing w:before="0" w:after="283"/>
              <w:jc w:val="right"/>
              <w:rPr/>
            </w:pPr>
            <w:r>
              <w:rPr/>
              <w:t>16,478</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55" w:type="dxa"/>
            <w:tcBorders>
              <w:bottom w:val="single" w:sz="12" w:space="0" w:color="000000"/>
            </w:tcBorders>
            <w:shd w:fill="FFFFFF" w:val="clear"/>
            <w:tcMar>
              <w:bottom w:w="28" w:type="dxa"/>
            </w:tcMar>
            <w:vAlign w:val="center"/>
          </w:tcPr>
          <w:p>
            <w:pPr>
              <w:pStyle w:val="TableContents"/>
              <w:bidi w:val="0"/>
              <w:spacing w:before="0" w:after="283"/>
              <w:jc w:val="right"/>
              <w:rPr/>
            </w:pPr>
            <w:r>
              <w:rPr/>
              <w:t>(14,814,716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63" w:type="dxa"/>
            <w:tcBorders>
              <w:bottom w:val="single" w:sz="12" w:space="0" w:color="000000"/>
            </w:tcBorders>
            <w:shd w:fill="FFFFFF" w:val="clear"/>
            <w:tcMar>
              <w:bottom w:w="28" w:type="dxa"/>
            </w:tcMar>
            <w:vAlign w:val="center"/>
          </w:tcPr>
          <w:p>
            <w:pPr>
              <w:pStyle w:val="TableContents"/>
              <w:bidi w:val="0"/>
              <w:spacing w:before="0" w:after="283"/>
              <w:jc w:val="right"/>
              <w:rPr/>
            </w:pPr>
            <w:r>
              <w:rPr/>
              <w:t>(100,225,453</w:t>
            </w:r>
          </w:p>
        </w:tc>
        <w:tc>
          <w:tcPr>
            <w:tcW w:w="111" w:type="dxa"/>
            <w:tcBorders/>
            <w:shd w:fill="FFFFFF" w:val="clear"/>
            <w:vAlign w:val="center"/>
          </w:tcPr>
          <w:p>
            <w:pPr>
              <w:pStyle w:val="TableContents"/>
              <w:bidi w:val="0"/>
              <w:spacing w:before="0" w:after="283"/>
              <w:jc w:val="left"/>
              <w:rPr/>
            </w:pPr>
            <w:r>
              <w:rPr/>
              <w:t>)</w:t>
            </w:r>
          </w:p>
        </w:tc>
      </w:tr>
      <w:tr>
        <w:trPr/>
        <w:tc>
          <w:tcPr>
            <w:tcW w:w="59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1,557,026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(624,755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(2,078,324</w:t>
            </w:r>
          </w:p>
        </w:tc>
        <w:tc>
          <w:tcPr>
            <w:tcW w:w="111" w:type="dxa"/>
            <w:tcBorders/>
            <w:shd w:fill="FFFFFF" w:val="clear"/>
            <w:vAlign w:val="center"/>
          </w:tcPr>
          <w:p>
            <w:pPr>
              <w:pStyle w:val="TableContents"/>
              <w:bidi w:val="0"/>
              <w:spacing w:before="0" w:after="283"/>
              <w:jc w:val="left"/>
              <w:rPr/>
            </w:pPr>
            <w:r>
              <w:rPr/>
              <w:t>)</w:t>
            </w:r>
          </w:p>
        </w:tc>
      </w:tr>
      <w:tr>
        <w:trPr/>
        <w:tc>
          <w:tcPr>
            <w:tcW w:w="5983" w:type="dxa"/>
            <w:tcBorders/>
            <w:shd w:fill="CCEEFF" w:val="clear"/>
            <w:vAlign w:val="center"/>
          </w:tcPr>
          <w:p>
            <w:pPr>
              <w:pStyle w:val="TableContents"/>
              <w:bidi w:val="0"/>
              <w:spacing w:before="0" w:after="283"/>
              <w:jc w:val="left"/>
              <w:rPr/>
            </w:pPr>
            <w:r>
              <w:rPr/>
              <w:t>Proceeds received from sale of cryptocurrencies</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5" w:type="dxa"/>
            <w:tcBorders>
              <w:bottom w:val="single" w:sz="12" w:space="0" w:color="000000"/>
            </w:tcBorders>
            <w:shd w:fill="CCEEFF" w:val="clear"/>
            <w:tcMar>
              <w:bottom w:w="28" w:type="dxa"/>
            </w:tcMar>
            <w:vAlign w:val="center"/>
          </w:tcPr>
          <w:p>
            <w:pPr>
              <w:pStyle w:val="TableContents"/>
              <w:bidi w:val="0"/>
              <w:spacing w:before="0" w:after="283"/>
              <w:jc w:val="right"/>
              <w:rPr/>
            </w:pPr>
            <w:r>
              <w:rPr/>
              <w:t>19,016,404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63" w:type="dxa"/>
            <w:tcBorders>
              <w:bottom w:val="single" w:sz="12" w:space="0" w:color="000000"/>
            </w:tcBorders>
            <w:shd w:fill="CCEEFF" w:val="clear"/>
            <w:tcMar>
              <w:bottom w:w="28" w:type="dxa"/>
            </w:tcMar>
            <w:vAlign w:val="center"/>
          </w:tcPr>
          <w:p>
            <w:pPr>
              <w:pStyle w:val="TableContents"/>
              <w:bidi w:val="0"/>
              <w:spacing w:before="0" w:after="283"/>
              <w:jc w:val="right"/>
              <w:rPr/>
            </w:pPr>
            <w:r>
              <w:rPr/>
              <w:t>16,175,915</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55" w:type="dxa"/>
            <w:tcBorders>
              <w:bottom w:val="single" w:sz="12" w:space="0" w:color="000000"/>
            </w:tcBorders>
            <w:shd w:fill="FFFFFF" w:val="clear"/>
            <w:tcMar>
              <w:bottom w:w="28" w:type="dxa"/>
            </w:tcMar>
            <w:vAlign w:val="center"/>
          </w:tcPr>
          <w:p>
            <w:pPr>
              <w:pStyle w:val="TableContents"/>
              <w:bidi w:val="0"/>
              <w:spacing w:before="0" w:after="283"/>
              <w:jc w:val="right"/>
              <w:rPr/>
            </w:pPr>
            <w:r>
              <w:rPr/>
              <w:t>19,948,675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63" w:type="dxa"/>
            <w:tcBorders>
              <w:bottom w:val="single" w:sz="12" w:space="0" w:color="000000"/>
            </w:tcBorders>
            <w:shd w:fill="FFFFFF" w:val="clear"/>
            <w:tcMar>
              <w:bottom w:w="28" w:type="dxa"/>
            </w:tcMar>
            <w:vAlign w:val="center"/>
          </w:tcPr>
          <w:p>
            <w:pPr>
              <w:pStyle w:val="TableContents"/>
              <w:bidi w:val="0"/>
              <w:spacing w:before="0" w:after="283"/>
              <w:jc w:val="right"/>
              <w:rPr/>
            </w:pPr>
            <w:r>
              <w:rPr/>
              <w:t>14,097,591</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Payments of issuance costs for initial public offering</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(721,872</w:t>
            </w:r>
          </w:p>
        </w:tc>
        <w:tc>
          <w:tcPr>
            <w:tcW w:w="111" w:type="dxa"/>
            <w:tcBorders/>
            <w:shd w:fill="CCEEFF" w:val="clear"/>
            <w:vAlign w:val="center"/>
          </w:tcPr>
          <w:p>
            <w:pPr>
              <w:pStyle w:val="TableContents"/>
              <w:bidi w:val="0"/>
              <w:spacing w:before="0" w:after="283"/>
              <w:jc w:val="left"/>
              <w:rPr/>
            </w:pPr>
            <w:r>
              <w:rPr/>
              <w:t>)</w:t>
            </w:r>
          </w:p>
        </w:tc>
      </w:tr>
      <w:tr>
        <w:trPr/>
        <w:tc>
          <w:tcPr>
            <w:tcW w:w="5983" w:type="dxa"/>
            <w:tcBorders/>
            <w:shd w:fill="FFFFFF" w:val="clear"/>
            <w:vAlign w:val="center"/>
          </w:tcPr>
          <w:p>
            <w:pPr>
              <w:pStyle w:val="TableContents"/>
              <w:bidi w:val="0"/>
              <w:spacing w:before="0" w:after="283"/>
              <w:jc w:val="left"/>
              <w:rPr/>
            </w:pPr>
            <w:r>
              <w:rPr/>
              <w:t>Dividend paid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(4,051,000</w:t>
            </w:r>
          </w:p>
        </w:tc>
        <w:tc>
          <w:tcPr>
            <w:tcW w:w="111" w:type="dxa"/>
            <w:tcBorders/>
            <w:shd w:fill="FFFFFF" w:val="clear"/>
            <w:vAlign w:val="center"/>
          </w:tcPr>
          <w:p>
            <w:pPr>
              <w:pStyle w:val="TableContents"/>
              <w:bidi w:val="0"/>
              <w:spacing w:before="0" w:after="283"/>
              <w:jc w:val="left"/>
              <w:rPr/>
            </w:pPr>
            <w:r>
              <w:rPr/>
              <w:t>)</w:t>
            </w:r>
          </w:p>
        </w:tc>
      </w:tr>
      <w:tr>
        <w:trPr/>
        <w:tc>
          <w:tcPr>
            <w:tcW w:w="5983" w:type="dxa"/>
            <w:tcBorders/>
            <w:shd w:fill="CCEEFF" w:val="clear"/>
            <w:vAlign w:val="center"/>
          </w:tcPr>
          <w:p>
            <w:pPr>
              <w:pStyle w:val="TableContents"/>
              <w:bidi w:val="0"/>
              <w:spacing w:before="0" w:after="283"/>
              <w:jc w:val="left"/>
              <w:rPr/>
            </w:pPr>
            <w:r>
              <w:rPr/>
              <w:t>Proceeds from share issuance</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63" w:type="dxa"/>
            <w:tcBorders>
              <w:bottom w:val="single" w:sz="12" w:space="0" w:color="000000"/>
            </w:tcBorders>
            <w:shd w:fill="CCEEFF" w:val="clear"/>
            <w:tcMar>
              <w:bottom w:w="28" w:type="dxa"/>
            </w:tcMar>
            <w:vAlign w:val="center"/>
          </w:tcPr>
          <w:p>
            <w:pPr>
              <w:pStyle w:val="TableContents"/>
              <w:bidi w:val="0"/>
              <w:spacing w:before="0" w:after="283"/>
              <w:jc w:val="right"/>
              <w:rPr/>
            </w:pPr>
            <w:r>
              <w:rPr/>
              <w:t>2,500</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63" w:type="dxa"/>
            <w:tcBorders>
              <w:bottom w:val="single" w:sz="12" w:space="0" w:color="000000"/>
            </w:tcBorders>
            <w:shd w:fill="FFFFFF" w:val="clear"/>
            <w:tcMar>
              <w:bottom w:w="28" w:type="dxa"/>
            </w:tcMar>
            <w:vAlign w:val="center"/>
          </w:tcPr>
          <w:p>
            <w:pPr>
              <w:pStyle w:val="TableContents"/>
              <w:bidi w:val="0"/>
              <w:spacing w:before="0" w:after="283"/>
              <w:jc w:val="right"/>
              <w:rPr/>
            </w:pPr>
            <w:r>
              <w:rPr/>
              <w:t>(4,770,372</w:t>
            </w:r>
          </w:p>
        </w:tc>
        <w:tc>
          <w:tcPr>
            <w:tcW w:w="111" w:type="dxa"/>
            <w:tcBorders/>
            <w:shd w:fill="FFFFFF" w:val="clear"/>
            <w:vAlign w:val="center"/>
          </w:tcPr>
          <w:p>
            <w:pPr>
              <w:pStyle w:val="TableContents"/>
              <w:bidi w:val="0"/>
              <w:spacing w:before="0" w:after="283"/>
              <w:jc w:val="left"/>
              <w:rPr/>
            </w:pPr>
            <w:r>
              <w:rPr/>
              <w:t>)</w:t>
            </w:r>
          </w:p>
        </w:tc>
      </w:tr>
      <w:tr>
        <w:trPr/>
        <w:tc>
          <w:tcPr>
            <w:tcW w:w="59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55" w:type="dxa"/>
            <w:tcBorders>
              <w:bottom w:val="single" w:sz="12" w:space="0" w:color="000000"/>
            </w:tcBorders>
            <w:shd w:fill="CCEEFF" w:val="clear"/>
            <w:tcMar>
              <w:bottom w:w="28" w:type="dxa"/>
            </w:tcMar>
            <w:vAlign w:val="center"/>
          </w:tcPr>
          <w:p>
            <w:pPr>
              <w:pStyle w:val="TableContents"/>
              <w:bidi w:val="0"/>
              <w:spacing w:before="0" w:after="283"/>
              <w:jc w:val="right"/>
              <w:rPr/>
            </w:pPr>
            <w:r>
              <w:rPr/>
              <w:t>5,133,959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63" w:type="dxa"/>
            <w:tcBorders>
              <w:bottom w:val="single" w:sz="12" w:space="0" w:color="000000"/>
            </w:tcBorders>
            <w:shd w:fill="CCEEFF" w:val="clear"/>
            <w:tcMar>
              <w:bottom w:w="28" w:type="dxa"/>
            </w:tcMar>
            <w:vAlign w:val="center"/>
          </w:tcPr>
          <w:p>
            <w:pPr>
              <w:pStyle w:val="TableContents"/>
              <w:bidi w:val="0"/>
              <w:spacing w:before="0" w:after="283"/>
              <w:jc w:val="right"/>
              <w:rPr/>
            </w:pPr>
            <w:r>
              <w:rPr/>
              <w:t>(90,898,234</w:t>
            </w:r>
          </w:p>
        </w:tc>
        <w:tc>
          <w:tcPr>
            <w:tcW w:w="111" w:type="dxa"/>
            <w:tcBorders/>
            <w:shd w:fill="CCEEFF" w:val="clear"/>
            <w:vAlign w:val="center"/>
          </w:tcPr>
          <w:p>
            <w:pPr>
              <w:pStyle w:val="TableContents"/>
              <w:bidi w:val="0"/>
              <w:spacing w:before="0" w:after="283"/>
              <w:jc w:val="left"/>
              <w:rPr/>
            </w:pPr>
            <w:r>
              <w:rPr/>
              <w:t>)</w:t>
            </w:r>
          </w:p>
        </w:tc>
      </w:tr>
      <w:tr>
        <w:trPr/>
        <w:tc>
          <w:tcPr>
            <w:tcW w:w="5983"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55" w:type="dxa"/>
            <w:tcBorders>
              <w:bottom w:val="single" w:sz="12" w:space="0" w:color="000000"/>
            </w:tcBorders>
            <w:shd w:fill="FFFFFF" w:val="clear"/>
            <w:tcMar>
              <w:bottom w:w="28" w:type="dxa"/>
            </w:tcMar>
            <w:vAlign w:val="center"/>
          </w:tcPr>
          <w:p>
            <w:pPr>
              <w:pStyle w:val="TableContents"/>
              <w:bidi w:val="0"/>
              <w:spacing w:before="0" w:after="283"/>
              <w:jc w:val="right"/>
              <w:rPr/>
            </w:pPr>
            <w:r>
              <w:rPr/>
              <w:t>26,286,333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63" w:type="dxa"/>
            <w:tcBorders>
              <w:bottom w:val="single" w:sz="12" w:space="0" w:color="000000"/>
            </w:tcBorders>
            <w:shd w:fill="FFFFFF" w:val="clear"/>
            <w:tcMar>
              <w:bottom w:w="28" w:type="dxa"/>
            </w:tcMar>
            <w:vAlign w:val="center"/>
          </w:tcPr>
          <w:p>
            <w:pPr>
              <w:pStyle w:val="TableContents"/>
              <w:bidi w:val="0"/>
              <w:spacing w:before="0" w:after="283"/>
              <w:jc w:val="right"/>
              <w:rPr/>
            </w:pPr>
            <w:r>
              <w:rPr/>
              <w:t>114,804,348</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31,420,292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23,906,114</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983" w:type="dxa"/>
            <w:tcBorders/>
            <w:shd w:fill="CCEEFF" w:val="clear"/>
            <w:vAlign w:val="center"/>
          </w:tcPr>
          <w:p>
            <w:pPr>
              <w:pStyle w:val="TableContents"/>
              <w:bidi w:val="0"/>
              <w:spacing w:before="0" w:after="283"/>
              <w:jc w:val="left"/>
              <w:rPr/>
            </w:pPr>
            <w:r>
              <w:rPr/>
              <w:t>SUPPLEMENTAL DISCLOSURE OF CASH FLOWS INFORMATION:</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Income taxes paid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8,594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16,682,863</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983" w:type="dxa"/>
            <w:tcBorders/>
            <w:shd w:fill="FFFFFF" w:val="clear"/>
            <w:vAlign w:val="center"/>
          </w:tcPr>
          <w:p>
            <w:pPr>
              <w:pStyle w:val="TableContents"/>
              <w:bidi w:val="0"/>
              <w:spacing w:before="0" w:after="283"/>
              <w:jc w:val="left"/>
              <w:rPr/>
            </w:pPr>
            <w:r>
              <w:rPr/>
              <w:t>NON-CASH INVESTING AND FINANCING TRANSACTIONS: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983" w:type="dxa"/>
            <w:tcBorders/>
            <w:shd w:fill="CCEEFF" w:val="clear"/>
            <w:vAlign w:val="center"/>
          </w:tcPr>
          <w:p>
            <w:pPr>
              <w:pStyle w:val="TableContents"/>
              <w:bidi w:val="0"/>
              <w:spacing w:before="0" w:after="283"/>
              <w:jc w:val="left"/>
              <w:rPr/>
            </w:pPr>
            <w:r>
              <w:rPr/>
              <w:t>Cryptocurrencies invested in short-term investments and future contracts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30,233,693</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983" w:type="dxa"/>
            <w:tcBorders/>
            <w:shd w:fill="FFFFFF" w:val="clear"/>
            <w:vAlign w:val="center"/>
          </w:tcPr>
          <w:p>
            <w:pPr>
              <w:pStyle w:val="TableContents"/>
              <w:bidi w:val="0"/>
              <w:spacing w:before="0" w:after="283"/>
              <w:jc w:val="left"/>
              <w:rPr/>
            </w:pPr>
            <w:r>
              <w:rPr/>
              <w:t>Redemption of cryptocurrency short-term investments and future contracts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46,121,357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983" w:type="dxa"/>
            <w:tcBorders/>
            <w:shd w:fill="CCEEFF" w:val="clear"/>
            <w:vAlign w:val="center"/>
          </w:tcPr>
          <w:p>
            <w:pPr>
              <w:pStyle w:val="TableContents"/>
              <w:bidi w:val="0"/>
              <w:spacing w:before="0" w:after="283"/>
              <w:jc w:val="left"/>
              <w:rPr/>
            </w:pPr>
            <w:r>
              <w:rPr/>
              <w:t>Cryptocurrencies lent to related party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218,147</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Cryptocurrencies used to pay dividends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949,000</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Cryptocurrencies received from loan lent to related parties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101,336</w:t>
            </w:r>
          </w:p>
        </w:tc>
        <w:tc>
          <w:tcPr>
            <w:tcW w:w="111" w:type="dxa"/>
            <w:tcBorders/>
            <w:shd w:fill="CCEEFF"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Cryptocurrencies lent to third party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863" w:type="dxa"/>
            <w:tcBorders/>
            <w:shd w:fill="FFFFFF" w:val="clear"/>
            <w:vAlign w:val="center"/>
          </w:tcPr>
          <w:p>
            <w:pPr>
              <w:pStyle w:val="TableContents"/>
              <w:bidi w:val="0"/>
              <w:spacing w:before="0" w:after="283"/>
              <w:jc w:val="right"/>
              <w:rPr/>
            </w:pPr>
            <w:r>
              <w:rPr/>
              <w:t>5,000,000</w:t>
            </w:r>
          </w:p>
        </w:tc>
        <w:tc>
          <w:tcPr>
            <w:tcW w:w="111" w:type="dxa"/>
            <w:tcBorders/>
            <w:shd w:fill="FFFFFF" w:val="clear"/>
            <w:vAlign w:val="center"/>
          </w:tcPr>
          <w:p>
            <w:pPr>
              <w:pStyle w:val="TableContents"/>
              <w:bidi w:val="0"/>
              <w:spacing w:before="0" w:after="283"/>
              <w:jc w:val="left"/>
              <w:rPr/>
            </w:pPr>
            <w:r>
              <w:rPr/>
              <w:t> </w:t>
            </w:r>
          </w:p>
        </w:tc>
      </w:tr>
      <w:tr>
        <w:trPr/>
        <w:tc>
          <w:tcPr>
            <w:tcW w:w="5983" w:type="dxa"/>
            <w:tcBorders/>
            <w:shd w:fill="CCEEFF" w:val="clear"/>
            <w:vAlign w:val="center"/>
          </w:tcPr>
          <w:p>
            <w:pPr>
              <w:pStyle w:val="TableContents"/>
              <w:bidi w:val="0"/>
              <w:spacing w:before="0" w:after="283"/>
              <w:jc w:val="left"/>
              <w:rPr/>
            </w:pPr>
            <w:r>
              <w:rPr/>
              <w:t>Property and equipment transferred from inventory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855" w:type="dxa"/>
            <w:tcBorders/>
            <w:shd w:fill="CCEEFF" w:val="clear"/>
            <w:vAlign w:val="center"/>
          </w:tcPr>
          <w:p>
            <w:pPr>
              <w:pStyle w:val="TableContents"/>
              <w:bidi w:val="0"/>
              <w:spacing w:before="0" w:after="283"/>
              <w:jc w:val="right"/>
              <w:rPr/>
            </w:pPr>
            <w:r>
              <w:rPr/>
              <w:t>35,257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863"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1281</Words>
  <Characters>7975</Characters>
  <CharactersWithSpaces>9806</CharactersWithSpaces>
  <Paragraphs>1432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