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caps w:val="false"/>
          <w:smallCaps w:val="false"/>
        </w:rPr>
      </w:pPr>
      <w:bookmarkStart w:id="0" w:name="ea0305590-6k_bgin.htm"/>
      <w:bookmarkStart w:id="1" w:name="ksea03055906k_bgin"/>
      <w:bookmarkEnd w:id="0"/>
      <w:bookmarkEnd w:id="1"/>
      <w:r>
        <w:rPr>
          <w:caps w:val="false"/>
          <w:smallCaps w:val="false"/>
        </w:rPr>
        <w:t> </w:t>
      </w:r>
    </w:p>
    <w:p>
      <w:pPr>
        <w:pStyle w:val="TextBody"/>
        <w:bidi w:val="0"/>
        <w:ind w:left="0" w:right="0" w:hanging="0"/>
        <w:jc w:val="left"/>
        <w:rPr>
          <w:bdr w:val="single" w:sz="16" w:space="1" w:color="000000"/>
        </w:rPr>
      </w:pPr>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6-K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13a-16 OR 15d-16</w:t>
        <w:br/>
        <w:t>UNDER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September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001-42908</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BGIN BLOCKCHAIN LIMITED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#09-12 Paya Lebar Square</w:t>
        <w:br/>
        <w:t>60 Paya Lebar Road</w:t>
        <w:br/>
        <w:t>Singapore 409051</w:t>
        <w:br/>
        <w:t>+65 9658 5681</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 of principal executive office)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shd w:fill="FFFFFF" w:val="clear"/>
        </w:rPr>
      </w:pPr>
      <w:r>
        <w:rPr>
          <w:rFonts w:ascii="Times New Roman;Times;Serif" w:hAnsi="Times New Roman;Times;Serif"/>
          <w:b/>
          <w:i w:val="false"/>
          <w:caps w:val="false"/>
          <w:smallCaps w:val="false"/>
          <w:sz w:val="20"/>
          <w:shd w:fill="FFFFFF" w:val="clear"/>
        </w:rPr>
        <w:t>Corporate Governance; Home Country Practice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current report on Form 6-K is being filed to disclose that BGIN BLOCKCHAIN LIMITED (“we,” “our,” “us,” and the “Company”) has now elected to rely on certain home country rule exemptions under the Nasdaq corporate governance listing standards.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Cayman Islands company listed on the Nasdaq Global Market, the Company is subject to the Nasdaq corporate governance listing standards. Nasdaq rules, however, permit a foreign private issuer like us to follow the corporate governance practices of its home country. Certain corporate governance practices in the Cayman Islands, which is our home country, may differ significantly from the Nasdaq corporate governance listing standards.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home country rule exemption set forth under Nasdaq Listing Rule 5615, the Company has elected to follow the Company’s home country rules for exemption from the following requirements of the Rule 5600 Series:</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Listing Rule 5620(a), pursuant to which companies listing common stock or voting preferred stock, and their equivalents, on Nasdaq are required to hold an annual meeting of shareholders no later than one year after the end of the company’s fiscal year-end, unless such company is a limited partnership that meets certain requirements.</w:t>
            </w:r>
          </w:p>
        </w:tc>
      </w:tr>
    </w:tbl>
    <w:p>
      <w:pPr>
        <w:pStyle w:val="TextBody"/>
        <w:bidi w:val="0"/>
        <w:spacing w:before="0" w:after="0"/>
        <w:ind w:left="72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Listing Rule 5635(c), pursuant to which companies listed on Nasdaq are required to obtain shareholder approval prior to the issuance of securities when a stock option or purchase plan or other equity compensation arrangement is established or materially amended.</w:t>
            </w:r>
          </w:p>
        </w:tc>
      </w:tr>
    </w:tbl>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for the foregoing, there are currently no other significant differences between our corporate governance practices and those followed by U.S. domestic companies under Nasdaq Global Market corporate governance listing standards.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5025" w:type="dxa"/>
        <w:jc w:val="left"/>
        <w:tblInd w:w="0" w:type="dxa"/>
        <w:tblLayout w:type="fixed"/>
        <w:tblCellMar>
          <w:top w:w="0" w:type="dxa"/>
          <w:left w:w="0" w:type="dxa"/>
          <w:bottom w:w="0" w:type="dxa"/>
          <w:right w:w="0" w:type="dxa"/>
        </w:tblCellMar>
      </w:tblPr>
      <w:tblGrid>
        <w:gridCol w:w="2135"/>
        <w:gridCol w:w="590"/>
        <w:gridCol w:w="2300"/>
      </w:tblGrid>
      <w:tr>
        <w:trPr/>
        <w:tc>
          <w:tcPr>
            <w:tcW w:w="2135" w:type="dxa"/>
            <w:tcBorders/>
            <w:vAlign w:val="center"/>
          </w:tcPr>
          <w:p>
            <w:pPr>
              <w:pStyle w:val="TableContents"/>
              <w:bidi w:val="0"/>
              <w:spacing w:before="0" w:after="283"/>
              <w:jc w:val="left"/>
              <w:rPr/>
            </w:pPr>
            <w:r>
              <w:rPr/>
              <w:t> </w:t>
            </w:r>
          </w:p>
        </w:tc>
        <w:tc>
          <w:tcPr>
            <w:tcW w:w="2890"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BGIN BLOCKCHAIN LIMITED</w:t>
            </w:r>
          </w:p>
        </w:tc>
      </w:tr>
      <w:tr>
        <w:trPr/>
        <w:tc>
          <w:tcPr>
            <w:tcW w:w="2135" w:type="dxa"/>
            <w:tcBorders/>
            <w:vAlign w:val="center"/>
          </w:tcPr>
          <w:p>
            <w:pPr>
              <w:pStyle w:val="TableContents"/>
              <w:bidi w:val="0"/>
              <w:spacing w:before="0" w:after="283"/>
              <w:jc w:val="left"/>
              <w:rPr/>
            </w:pPr>
            <w:r>
              <w:rPr/>
              <w:t> </w:t>
            </w:r>
          </w:p>
        </w:tc>
        <w:tc>
          <w:tcPr>
            <w:tcW w:w="2890" w:type="dxa"/>
            <w:gridSpan w:val="2"/>
            <w:tcBorders/>
            <w:vAlign w:val="center"/>
          </w:tcPr>
          <w:p>
            <w:pPr>
              <w:pStyle w:val="TableContents"/>
              <w:bidi w:val="0"/>
              <w:spacing w:before="0" w:after="283"/>
              <w:jc w:val="left"/>
              <w:rPr/>
            </w:pPr>
            <w:r>
              <w:rPr/>
              <w:t> </w:t>
            </w:r>
          </w:p>
        </w:tc>
      </w:tr>
      <w:tr>
        <w:trPr/>
        <w:tc>
          <w:tcPr>
            <w:tcW w:w="21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September 15, 2026</w:t>
            </w:r>
          </w:p>
        </w:tc>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300"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/s/ </w:t>
            </w:r>
            <w:r>
              <w:rPr>
                <w:rFonts w:ascii="Times New Roman;Times;Serif" w:hAnsi="Times New Roman;Times;Serif"/>
                <w:i/>
                <w:sz w:val="20"/>
              </w:rPr>
              <w:t>Qingfeng Wu</w:t>
            </w:r>
          </w:p>
        </w:tc>
      </w:tr>
      <w:tr>
        <w:trPr/>
        <w:tc>
          <w:tcPr>
            <w:tcW w:w="213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 </w:t>
            </w:r>
          </w:p>
        </w:tc>
        <w:tc>
          <w:tcPr>
            <w:tcW w:w="23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Qingfeng Wu</w:t>
            </w:r>
          </w:p>
        </w:tc>
      </w:tr>
      <w:tr>
        <w:trPr/>
        <w:tc>
          <w:tcPr>
            <w:tcW w:w="213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23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Executive Officer</w:t>
              <w:br/>
              <w:t>(principal executive officer)</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center"/>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410</Words>
  <Characters>2270</Characters>
  <CharactersWithSpaces>2686</CharactersWithSpaces>
  <Paragraphs>67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