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87654-6k_bgin.htm"/>
      <w:bookmarkStart w:id="1" w:name="ksea02876546k_bgin"/>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b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April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001-42908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BGIN BLOCKCHAIN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#09 12 Paya Lebar Square</w:t>
        <w:br/>
        <w:t>60 Paya Lebar Road</w:t>
        <w:br/>
        <w:t>Singapore 409051</w:t>
        <w:br/>
        <w:t>+65 9658 5681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9775" w:type="dxa"/>
        <w:jc w:val="left"/>
        <w:tblInd w:w="0" w:type="dxa"/>
        <w:tblLayout w:type="fixed"/>
        <w:tblCellMar>
          <w:top w:w="0" w:type="dxa"/>
          <w:left w:w="0" w:type="dxa"/>
          <w:bottom w:w="28" w:type="dxa"/>
          <w:right w:w="0" w:type="dxa"/>
        </w:tblCellMar>
      </w:tblPr>
      <w:tblGrid>
        <w:gridCol w:w="725"/>
        <w:gridCol w:w="60"/>
        <w:gridCol w:w="8990"/>
      </w:tblGrid>
      <w:tr>
        <w:trPr/>
        <w:tc>
          <w:tcPr>
            <w:tcW w:w="72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899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w:t>
            </w:r>
          </w:p>
        </w:tc>
      </w:tr>
      <w:tr>
        <w:trPr/>
        <w:tc>
          <w:tcPr>
            <w:tcW w:w="72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8990" w:type="dxa"/>
            <w:tcBorders/>
            <w:shd w:fill="CCEEFF" w:val="clear"/>
            <w:tcMar>
              <w:bottom w:w="0" w:type="dxa"/>
            </w:tcMar>
            <w:vAlign w:val="center"/>
          </w:tcPr>
          <w:p>
            <w:pPr>
              <w:pStyle w:val="TableContents"/>
              <w:bidi w:val="0"/>
              <w:spacing w:before="0" w:after="283"/>
              <w:jc w:val="both"/>
              <w:rPr/>
            </w:pPr>
            <w:hyperlink w:anchor="ea028765401ex99-1.htm">
              <w:r>
                <w:rPr>
                  <w:rStyle w:val="InternetLink"/>
                  <w:rFonts w:ascii="Times New Roman;Times;Serif" w:hAnsi="Times New Roman;Times;Serif"/>
                  <w:sz w:val="20"/>
                </w:rPr>
                <w:t>Press Release – BGIN BLOCKCHAIN LIMITED Reports Unaudited Financial Results for the Full Year of 2025</w:t>
              </w:r>
            </w:hyperlink>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590" w:type="dxa"/>
        <w:jc w:val="left"/>
        <w:tblInd w:w="0" w:type="dxa"/>
        <w:tblLayout w:type="fixed"/>
        <w:tblCellMar>
          <w:top w:w="0" w:type="dxa"/>
          <w:left w:w="0" w:type="dxa"/>
          <w:bottom w:w="0" w:type="dxa"/>
          <w:right w:w="0" w:type="dxa"/>
        </w:tblCellMar>
      </w:tblPr>
      <w:tblGrid>
        <w:gridCol w:w="1700"/>
        <w:gridCol w:w="590"/>
        <w:gridCol w:w="2300"/>
      </w:tblGrid>
      <w:tr>
        <w:trPr/>
        <w:tc>
          <w:tcPr>
            <w:tcW w:w="1700"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BGIN BLOCKCHAIN LIMITED</w:t>
            </w:r>
          </w:p>
        </w:tc>
      </w:tr>
      <w:tr>
        <w:trPr/>
        <w:tc>
          <w:tcPr>
            <w:tcW w:w="1700" w:type="dxa"/>
            <w:tcBorders/>
            <w:vAlign w:val="center"/>
          </w:tcPr>
          <w:p>
            <w:pPr>
              <w:pStyle w:val="TableContents"/>
              <w:bidi w:val="0"/>
              <w:spacing w:before="0" w:after="283"/>
              <w:jc w:val="left"/>
              <w:rPr/>
            </w:pPr>
            <w:r>
              <w:rPr/>
              <w:t> </w:t>
            </w:r>
          </w:p>
        </w:tc>
        <w:tc>
          <w:tcPr>
            <w:tcW w:w="2890" w:type="dxa"/>
            <w:gridSpan w:val="2"/>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April 24, 2026</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30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w:t>
            </w:r>
            <w:r>
              <w:rPr>
                <w:rFonts w:ascii="Times New Roman;Times;Serif" w:hAnsi="Times New Roman;Times;Serif"/>
                <w:i/>
                <w:sz w:val="20"/>
              </w:rPr>
              <w:t>Qingfeng Wu</w:t>
            </w:r>
          </w:p>
        </w:tc>
      </w:tr>
      <w:tr>
        <w:trPr/>
        <w:tc>
          <w:tcPr>
            <w:tcW w:w="170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Qingfeng Wu</w:t>
            </w:r>
          </w:p>
        </w:tc>
      </w:tr>
      <w:tr>
        <w:trPr/>
        <w:tc>
          <w:tcPr>
            <w:tcW w:w="170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3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br/>
              <w:t>(principal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28765401ex99-1.htm"/>
      <w:bookmarkStart w:id="3" w:name="ksea0287654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71437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BGIN BLOCKCHAIN LIMITED Reports Unaudited Financial Results for the Full Year of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Apr. 24, 2026 (GLOBE NEWSWIRE) -- BGIN BLOCKCHAIN LIMITED (“BGIN” or the “Company”; NASDAQ: BGIN), a digital asset technology company with proprietary cryptocurrency mining technologies and a manufacturer of cryptocurrency mining hardware, today released its unaudited financial results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Financial Highlights</w:t>
      </w:r>
    </w:p>
    <w:p>
      <w:pPr>
        <w:pStyle w:val="TextBody"/>
        <w:bidi w:val="0"/>
        <w:spacing w:before="0" w:after="0"/>
        <w:ind w:left="0" w:right="0" w:hanging="0"/>
        <w:jc w:val="left"/>
        <w:rPr>
          <w:caps w:val="false"/>
          <w:smallCaps w:val="false"/>
        </w:rPr>
      </w:pPr>
      <w:r>
        <w:rPr>
          <w:caps w:val="false"/>
          <w:smallCaps w:val="false"/>
        </w:rPr>
        <w:t> </w:t>
      </w:r>
    </w:p>
    <w:tbl>
      <w:tblPr>
        <w:tblW w:w="7623" w:type="dxa"/>
        <w:jc w:val="left"/>
        <w:tblInd w:w="0" w:type="dxa"/>
        <w:tblLayout w:type="fixed"/>
        <w:tblCellMar>
          <w:top w:w="0" w:type="dxa"/>
          <w:left w:w="0" w:type="dxa"/>
          <w:bottom w:w="0" w:type="dxa"/>
          <w:right w:w="0" w:type="dxa"/>
        </w:tblCellMar>
      </w:tblPr>
      <w:tblGrid>
        <w:gridCol w:w="38"/>
        <w:gridCol w:w="170"/>
        <w:gridCol w:w="74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7415" w:type="dxa"/>
            <w:tcBorders/>
            <w:vAlign w:val="center"/>
          </w:tcPr>
          <w:p>
            <w:pPr>
              <w:pStyle w:val="TableContents"/>
              <w:bidi w:val="0"/>
              <w:spacing w:before="0" w:after="283"/>
              <w:jc w:val="both"/>
              <w:rPr/>
            </w:pPr>
            <w:r>
              <w:rPr>
                <w:b/>
              </w:rPr>
              <w:t xml:space="preserve">Total Revenue </w:t>
            </w:r>
            <w:r>
              <w:rPr/>
              <w:t>was US$67.4 million compared to US$302.3 million in 2024.</w:t>
            </w:r>
          </w:p>
        </w:tc>
      </w:tr>
    </w:tbl>
    <w:p>
      <w:pPr>
        <w:pStyle w:val="TextBody"/>
        <w:bidi w:val="0"/>
        <w:spacing w:before="0" w:after="0"/>
        <w:jc w:val="left"/>
        <w:rPr>
          <w:caps w:val="false"/>
          <w:smallCaps w:val="false"/>
        </w:rPr>
      </w:pPr>
      <w:r>
        <w:rPr>
          <w:caps w:val="false"/>
          <w:smallCaps w:val="false"/>
        </w:rPr>
        <w:t> </w:t>
      </w:r>
    </w:p>
    <w:tbl>
      <w:tblPr>
        <w:tblW w:w="8373" w:type="dxa"/>
        <w:jc w:val="left"/>
        <w:tblInd w:w="0" w:type="dxa"/>
        <w:tblLayout w:type="fixed"/>
        <w:tblCellMar>
          <w:top w:w="0" w:type="dxa"/>
          <w:left w:w="0" w:type="dxa"/>
          <w:bottom w:w="0" w:type="dxa"/>
          <w:right w:w="0" w:type="dxa"/>
        </w:tblCellMar>
      </w:tblPr>
      <w:tblGrid>
        <w:gridCol w:w="38"/>
        <w:gridCol w:w="170"/>
        <w:gridCol w:w="8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283"/>
              <w:jc w:val="both"/>
              <w:rPr/>
            </w:pPr>
            <w:r>
              <w:rPr>
                <w:b/>
              </w:rPr>
              <w:t xml:space="preserve">Net Loss </w:t>
            </w:r>
            <w:r>
              <w:rPr/>
              <w:t>was US$177.0 million compared to net income of US$66.1 million in 2024.</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Allen Wu, Founder, Chief Executive Officer and Director of BGIN, commented: “2025 marked a deeply transformative year for BGIN. We made difficult but decisive choices—scaling back our legacy altcoin business to concentrate on Bitcoin infrastructure. Our successful 4nm Bitcoin miner prototype validates our execution capabilities, and our three-engine business model creates a natural hedge against market volatility. In 2026, we are focusing on Bitcoin and Dogecoin which we believe helps us address a much larger opportunity, and we aim to deliver sustainable long-term value for our shareholders in 2026 and beyond.”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Oisin Li, Founder, Executive Chairman of the Board of Directors and Director of BGIN, commented: “Building on this transformation, we remain focused on four key priorities: First, we continue to enhance our research and development capabilities to deliver competitive mining solutions. Second, our mining operations remain anchored in cost-effective energy strategies and power sources that provide structural advantages. Third, we are exploring cloud mining and new consumer-focused product lines to democratize access to cryptocurrency mining — staying true to our ‘Crypto for All’ vision. Fourth, while large cap crypto currencies such as Bitcoin and Dogecoin are our primary focus, we will maintain the flexibility to capture opportunities in promising smaller cap altcoins when market conditions align.”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Mark Xiang, Co-Chief Financial Officer of BGIN, stated: “Our financial discipline has been the foundation of BGIN’s success since day one. Operating entirely on internally generated cash flow until our IPO completed in 2025 created a culture where every dollar is focused on return on investment (“ROI”).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2025 was a strategic pivot year for BGIN. Our reported net loss was predominantly non-cash in nature, driven by impairments and write-offs due to our prudent assessment. We made conscious decisions to scale back investments in the altcoin sector and strategically shut down mining operations that did not meet our efficiency thresholds. This allowed us to redirect substantial capital into research and development, with our primary focus on Bitcoin and Dogecoin mining technologies. With $26.3 million in cash and $22.5 million in crypto assets, we have sufficient runway to support the execution of our strategy. The IPO has provided us strategic flexibility to scale, and we will continue evaluating financing opportunities based on clear ROI metrics.”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714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7143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Revenue</w:t>
      </w:r>
      <w:r>
        <w:rPr>
          <w:rFonts w:ascii="Times New Roman;Times;Serif" w:hAnsi="Times New Roman;Times;Serif"/>
          <w:b w:val="false"/>
          <w:i w:val="false"/>
          <w:caps w:val="false"/>
          <w:smallCaps w:val="false"/>
          <w:sz w:val="20"/>
        </w:rPr>
        <w:t xml:space="preserve"> was US$67.4 million, compared to US$302.3 million in 2024. The change was mainly due to a decrease in the Company’s mining pool revenue and machine sales revenue.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Mining revenue</w:t>
            </w:r>
            <w:r>
              <w:rPr/>
              <w:t> was US$42.9 million, compared to US$45.0 million in 2024. The change was mainly due to a lower average price of ALPH and the cessation of IRON mining during fiscal 2025.</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Sales of Mining Machines</w:t>
            </w:r>
            <w:r>
              <w:rPr/>
              <w:t> were US$15.3 million, compared to US$192.2 million in 2024. The change was primarily due to a decline in both the average per unit selling price and sales volume of KAS mining machines, driven by increased competition and decreased demand in the market.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Hosting Revenue</w:t>
            </w:r>
            <w:r>
              <w:rPr/>
              <w:t> was US$3.3 million, compared to US$6.2 million in 2024. The change was mainly due to reduced customer demand caused by KAS price volatility.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Mining pool revenue </w:t>
            </w:r>
            <w:r>
              <w:rPr/>
              <w:t>was US$5.9 million, compared to US$58.8 million in 2024. The change was primarily due to: (i) a lower average price of KAS, the primary cryptocurrency mined in the Company’s pool; (ii) a significant reduction in the mining of other cryptocurrencies due to market conditions and strategic adjustments; and (iii) stricter pool entry requirements that resulted in a decrease in the number of miners in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costs of revenues</w:t>
      </w:r>
      <w:r>
        <w:rPr>
          <w:rFonts w:ascii="Times New Roman;Times;Serif" w:hAnsi="Times New Roman;Times;Serif"/>
          <w:b w:val="false"/>
          <w:i w:val="false"/>
          <w:caps w:val="false"/>
          <w:smallCaps w:val="false"/>
          <w:sz w:val="20"/>
        </w:rPr>
        <w:t xml:space="preserve"> were US$143.0 million, compared to US$174.6 million in 2024. The decrease was primarily due to lower machine sales volume, partially offset by increased mining costs.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Costs of mining revenue </w:t>
            </w:r>
            <w:r>
              <w:rPr/>
              <w:t>were US$63.3 million, compared to US$29.7 million in 2024. The change was due to the combined effects of: (i) an increase of US$11.5 million in depreciation costs as the Company deployed additional mining machines in 2025, (ii) an increase of US$1.7 million in other costs, primarily comprising logistics, duties, rental costs and labor, driven by higher operating costs associated with the increased number of mining machines deployed, and (iii) an increase of US$20.4 million in utility expenses, which was consistent with the higher average number of mining machines deployed in 2025, being 24,924 units compared to 13,241 units in 2024.</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 xml:space="preserve">Costs of sales of mining machines </w:t>
            </w:r>
            <w:r>
              <w:rPr/>
              <w:t>were US$71.2 million, compared to US$81.7 million in 2024. The change was primarily due to: (i) significantly lower volume of machines sold in 2025 (9,410 units) compared to 2024 (102,849 units), resulting in a decrease of $32 million in costs of sales; and (ii) a US$3 million write-off of obsolete mining machines and components in 2025, compared to a write-off of $24.1 million in 2024. The decrease in costs of sales from lower sales volume and write-off of obsolete machines in 2025 was offset by an increase in inventory provision of $46.7 million, from $12.6 million in 2024 to $59.3 million 2025, recognized based on a net realizable value assessment following the decline in KAS prices.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 xml:space="preserve">Costs of hosting revenue </w:t>
            </w:r>
            <w:r>
              <w:rPr/>
              <w:t>was US$2.6 million, compared to US$4.9 million in 2024. The decrease in costs corresponded with the decrease in hosting revenue.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b/>
              </w:rPr>
              <w:t xml:space="preserve">Costs of mining pool revenue </w:t>
            </w:r>
            <w:r>
              <w:rPr/>
              <w:t>was US$5.8 million, compared to US$58.3 million in 2024. The decrease in costs corresponded with the decrease in mining pool revenue.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Gross loss </w:t>
      </w:r>
      <w:r>
        <w:rPr>
          <w:rFonts w:ascii="Times New Roman;Times;Serif" w:hAnsi="Times New Roman;Times;Serif"/>
          <w:b w:val="false"/>
          <w:i w:val="false"/>
          <w:caps w:val="false"/>
          <w:smallCaps w:val="false"/>
          <w:sz w:val="20"/>
        </w:rPr>
        <w:t>was US$75.6 million, compared to gross profit of US$127.7 million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Selling expenses </w:t>
      </w:r>
      <w:r>
        <w:rPr>
          <w:rFonts w:ascii="Times New Roman;Times;Serif" w:hAnsi="Times New Roman;Times;Serif"/>
          <w:b w:val="false"/>
          <w:i w:val="false"/>
          <w:caps w:val="false"/>
          <w:smallCaps w:val="false"/>
          <w:sz w:val="20"/>
        </w:rPr>
        <w:t>were US$0.4 million, compared to US$0.7 million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714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7143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General and administrative expenses </w:t>
      </w:r>
      <w:r>
        <w:rPr>
          <w:rFonts w:ascii="Times New Roman;Times;Serif" w:hAnsi="Times New Roman;Times;Serif"/>
          <w:b w:val="false"/>
          <w:i w:val="false"/>
          <w:caps w:val="false"/>
          <w:smallCaps w:val="false"/>
          <w:sz w:val="20"/>
        </w:rPr>
        <w:t>were US$13.9 million, compared to US$7.2 million in 2024. The change was primarily due to: (i) a significant increase of US$2.8 million in employee salaries and benefits to support business expansion, particularly increased operations in the United States; (ii) a significant increase of US$2.7 million in professional fees, primarily related to initial public offering activities; (iii) an increase of $1.6 million in credit loss expense as there was no similar loss provision in 2024; offset by (iv) a significant decrease of US$2.4 million in merchant service charges due to reduced sales of mining machines.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Research and development expenses </w:t>
      </w:r>
      <w:r>
        <w:rPr>
          <w:rFonts w:ascii="Times New Roman;Times;Serif" w:hAnsi="Times New Roman;Times;Serif"/>
          <w:b w:val="false"/>
          <w:i w:val="false"/>
          <w:caps w:val="false"/>
          <w:smallCaps w:val="false"/>
          <w:sz w:val="20"/>
        </w:rPr>
        <w:t>were US$20.2 million, compared to US$16.4 million in 2024. The change was due to increased investment in the development of the Company’s own ASIC chips for mining machines.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Net loss </w:t>
      </w:r>
      <w:r>
        <w:rPr>
          <w:rFonts w:ascii="Times New Roman;Times;Serif" w:hAnsi="Times New Roman;Times;Serif"/>
          <w:b w:val="false"/>
          <w:i w:val="false"/>
          <w:caps w:val="false"/>
          <w:smallCaps w:val="false"/>
          <w:sz w:val="20"/>
        </w:rPr>
        <w:t>was US$177.0 million, compared to net income of US$66.1 million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Basic &amp; diluted net loss per share </w:t>
      </w:r>
      <w:r>
        <w:rPr>
          <w:rFonts w:ascii="Times New Roman;Times;Serif" w:hAnsi="Times New Roman;Times;Serif"/>
          <w:b w:val="false"/>
          <w:i w:val="false"/>
          <w:caps w:val="false"/>
          <w:smallCaps w:val="false"/>
          <w:sz w:val="20"/>
        </w:rPr>
        <w:t>was US$1.62, compared to basic &amp; diluted net income per share of US$0.61 in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Company had US$26.3 million in </w:t>
      </w:r>
      <w:r>
        <w:rPr>
          <w:rFonts w:ascii="Times New Roman;Times;Serif" w:hAnsi="Times New Roman;Times;Serif"/>
          <w:b/>
          <w:i w:val="false"/>
          <w:caps w:val="false"/>
          <w:smallCaps w:val="false"/>
          <w:sz w:val="20"/>
        </w:rPr>
        <w:t>cash</w:t>
      </w:r>
      <w:r>
        <w:rPr>
          <w:rFonts w:ascii="Times New Roman;Times;Serif" w:hAnsi="Times New Roman;Times;Serif"/>
          <w:b w:val="false"/>
          <w:i w:val="false"/>
          <w:caps w:val="false"/>
          <w:smallCaps w:val="false"/>
          <w:sz w:val="20"/>
        </w:rPr>
        <w:t>, compared to US$114.8 million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the Company had US$22.5 million in </w:t>
      </w:r>
      <w:r>
        <w:rPr>
          <w:rFonts w:ascii="Times New Roman;Times;Serif" w:hAnsi="Times New Roman;Times;Serif"/>
          <w:b/>
          <w:i w:val="false"/>
          <w:caps w:val="false"/>
          <w:smallCaps w:val="false"/>
          <w:sz w:val="20"/>
        </w:rPr>
        <w:t>intangible assets – cryptocurrencies</w:t>
      </w:r>
      <w:r>
        <w:rPr>
          <w:rFonts w:ascii="Times New Roman;Times;Serif" w:hAnsi="Times New Roman;Times;Serif"/>
          <w:b w:val="false"/>
          <w:i w:val="false"/>
          <w:caps w:val="false"/>
          <w:smallCaps w:val="false"/>
          <w:sz w:val="20"/>
        </w:rPr>
        <w:t>, compared to US$32.1 million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Successful Tape-Out of 4nm BT1 Bitcoin Mining Chip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17, 2026, the Company announced first-pass silicon success in the 4nm BT1 Bitcoin mining ASIC chip—the Company’s first proprietary chip designed specifically for Bitcoin mining. This achievement marks an important milestone in the Company’s Bitcoin mining chip program, which entered the tape-out phase in October 2025 and has now reached first-pass silicon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Resolution of Subsidiary’s Hosting Dispute and Full Recovery of Mining Machines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13, 2026, the Company announced the successful resolution of a series of disputes involving its US subsidiary, BGIN Infrastructure, LLC, and Mawson Hosting, LLC, the landlord of BGIN’s former hosting service provider, Krypton Technologies, LLC. As part of a confidential settlement agreement, BGIN has recovered all of its mining machines.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hold a conference call at 8:00PM U.S. Eastern Time on April 24, 2026 (8:00AM Singapore/Hong Kong Time on April 25, 2026). Details for the conference call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 Title: BGIN BLOCKCHAIN LIMITED Full Year 2025 Earnings 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participants may use the link provided below to complete the online registration process in advance of the conference call. Upon registration, each participant will receive a set of participant dial-in numbers, the Direct Event passcode, and a unique PIN by email.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PRE-REGISTER LINK: https://register-conf.media-server.com/register/BI973fcf0e7e864b3293dbf91bbf750e61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live and archived webcast of the conference call will also be available at the Company’s investor relations website at https://ir.bgin.com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7143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943600" cy="71437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may constitute “forward-looking” statements within the meaning of Section 27A of the Securities Act of 1933, as amended, and Section 21E of the Securities Exchange Act of 1934, as amended, pursuant to the “safe harbor” provisions of the U.S. Private Securities Litigation Reform Act of 1995. These forward-looking statements can be identified by terminology such as “will,” “expects,” “anticipates,” “aims,” “future,” “intends,” “plans,” “believes,” “estimates,” “likely to,” “target,” “project,” “potential,” “seek,” “may,” “should,” “could,” “would,” and similar expressions or the negative thereof. Statements that are not historical facts, including but not limited to statements regarding the Company’s plans to report its financial results and the timing thereof, are forward-looking statements.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set forth in the Company’s filings with the U.S. Securities and Exchange Commission (the “SEC”). Additional factors are discussed in the Company’s filings with the SEC, which are available for review at www.sec.gov. All information provided in this press release is as of the date of this press release, and the Company does not undertake any obligation to update any forward-looking statement,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BGIN BLOCKCHAIN LIMITED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BGIN BLOCKCHAIN LIMITED (NASDAQ: BGIN) is a digital asset technology company with proprietary cryptocurrency-mining technologies that leverages its experience in designing ASIC chips and mining machines to penetrate new cryptocurrency opportunities and execute on a long-term strategic focus on self-mining. BGIN’s mission is to make crypto mining accessible to all by developing innovative products tailored to various market needs, from beginners to large-scale industrial miners. BGIN designs and manufactures mining machines under its ICERIVER brand, providing customers with operational flexibility through advanced mining infrastructure and hosting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www.bgin.com or www.iceriver.io.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BGIN BLOCKCHAIN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br/>
        <w:t>Jennifer Jiang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ir@bgin.com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 Relations</w:t>
        <w:br/>
        <w:t>Ray Xie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pr@bgin.com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43600" cy="7143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943600" cy="714375"/>
                    </a:xfrm>
                    <a:prstGeom prst="rect">
                      <a:avLst/>
                    </a:prstGeom>
                  </pic:spPr>
                </pic:pic>
              </a:graphicData>
            </a:graphic>
          </wp:inline>
        </w:drawing>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BGIN BLOCKCHAIN LIMITED</w:t>
        <w:br/>
      </w:r>
      <w:r>
        <w:rPr>
          <w:rFonts w:ascii="Times New Roman;Times;Serif" w:hAnsi="Times New Roman;Times;Serif"/>
          <w:b/>
          <w:i w:val="false"/>
          <w:caps w:val="false"/>
          <w:smallCaps w:val="false"/>
          <w:sz w:val="20"/>
        </w:rPr>
        <w:t>CONSOLIDATED BALANCE SHEETS</w:t>
        <w:br/>
        <w:t>AS OF DECEMBER 31, 2025 AND 2024</w:t>
        <w:br/>
        <w:t>(US$, except for number of shares data, or otherwise noted)</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98"/>
        <w:gridCol w:w="60"/>
        <w:gridCol w:w="60"/>
        <w:gridCol w:w="1115"/>
        <w:gridCol w:w="95"/>
        <w:gridCol w:w="60"/>
        <w:gridCol w:w="66"/>
        <w:gridCol w:w="1364"/>
        <w:gridCol w:w="87"/>
      </w:tblGrid>
      <w:tr>
        <w:trPr/>
        <w:tc>
          <w:tcPr>
            <w:tcW w:w="72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r>
              <w:rPr>
                <w:rFonts w:ascii="Times New Roman;Times;Serif" w:hAnsi="Times New Roman;Times;Serif"/>
                <w:b/>
                <w:sz w:val="20"/>
                <w:u w:val="single"/>
              </w:rPr>
              <w:br/>
            </w: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December 31, </w:t>
              <w:br/>
              <w:t>2024</w:t>
            </w:r>
          </w:p>
        </w:tc>
        <w:tc>
          <w:tcPr>
            <w:tcW w:w="87" w:type="dxa"/>
            <w:tcBorders/>
            <w:vAlign w:val="center"/>
          </w:tcPr>
          <w:p>
            <w:pPr>
              <w:pStyle w:val="TableContents"/>
              <w:bidi w:val="0"/>
              <w:spacing w:before="0" w:after="283"/>
              <w:jc w:val="left"/>
              <w:rPr/>
            </w:pPr>
            <w:r>
              <w:rPr/>
              <w:t> </w:t>
            </w:r>
          </w:p>
        </w:tc>
      </w:tr>
      <w:tr>
        <w:trPr/>
        <w:tc>
          <w:tcPr>
            <w:tcW w:w="72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87" w:type="dxa"/>
            <w:tcBorders/>
            <w:vAlign w:val="center"/>
          </w:tcPr>
          <w:p>
            <w:pPr>
              <w:pStyle w:val="TableContents"/>
              <w:bidi w:val="0"/>
              <w:spacing w:before="0" w:after="283"/>
              <w:jc w:val="left"/>
              <w:rPr/>
            </w:pPr>
            <w:r>
              <w:rPr/>
              <w:t> </w:t>
            </w:r>
          </w:p>
        </w:tc>
      </w:tr>
      <w:tr>
        <w:trPr/>
        <w:tc>
          <w:tcPr>
            <w:tcW w:w="7298" w:type="dxa"/>
            <w:tcBorders/>
            <w:vAlign w:val="center"/>
          </w:tcPr>
          <w:p>
            <w:pPr>
              <w:pStyle w:val="TableContents"/>
              <w:bidi w:val="0"/>
              <w:spacing w:before="0" w:after="283"/>
              <w:jc w:val="left"/>
              <w:rPr>
                <w:b/>
              </w:rPr>
            </w:pPr>
            <w:r>
              <w:rPr>
                <w:b/>
              </w:rPr>
              <w:t>Assets</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right"/>
              <w:rPr/>
            </w:pPr>
            <w:r>
              <w:rPr/>
              <w:t> </w:t>
            </w:r>
          </w:p>
        </w:tc>
        <w:tc>
          <w:tcPr>
            <w:tcW w:w="87" w:type="dxa"/>
            <w:tcBorders/>
            <w:vAlign w:val="center"/>
          </w:tcPr>
          <w:p>
            <w:pPr>
              <w:pStyle w:val="TableContents"/>
              <w:bidi w:val="0"/>
              <w:spacing w:before="0" w:after="283"/>
              <w:jc w:val="left"/>
              <w:rPr/>
            </w:pPr>
            <w:r>
              <w:rPr/>
              <w:t> </w:t>
            </w:r>
          </w:p>
        </w:tc>
      </w:tr>
      <w:tr>
        <w:trPr/>
        <w:tc>
          <w:tcPr>
            <w:tcW w:w="7298" w:type="dxa"/>
            <w:tcBorders/>
            <w:vAlign w:val="center"/>
          </w:tcPr>
          <w:p>
            <w:pPr>
              <w:pStyle w:val="TableContents"/>
              <w:bidi w:val="0"/>
              <w:spacing w:before="0" w:after="283"/>
              <w:jc w:val="left"/>
              <w:rPr/>
            </w:pPr>
            <w:r>
              <w:rPr/>
              <w:t>Current Assets</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0" w:type="dxa"/>
            <w:gridSpan w:val="2"/>
            <w:tcBorders/>
            <w:vAlign w:val="center"/>
          </w:tcPr>
          <w:p>
            <w:pPr>
              <w:pStyle w:val="TableContents"/>
              <w:bidi w:val="0"/>
              <w:spacing w:before="0" w:after="283"/>
              <w:jc w:val="right"/>
              <w:rPr/>
            </w:pPr>
            <w:r>
              <w:rPr/>
              <w:t> </w:t>
            </w:r>
          </w:p>
        </w:tc>
        <w:tc>
          <w:tcPr>
            <w:tcW w:w="87" w:type="dxa"/>
            <w:tcBorders/>
            <w:vAlign w:val="center"/>
          </w:tcPr>
          <w:p>
            <w:pPr>
              <w:pStyle w:val="TableContents"/>
              <w:bidi w:val="0"/>
              <w:spacing w:before="0" w:after="283"/>
              <w:ind w:left="0" w:right="0" w:hanging="200"/>
              <w:jc w:val="left"/>
              <w:rPr/>
            </w:pPr>
            <w:r>
              <w:rPr/>
              <w:t> </w:t>
            </w:r>
          </w:p>
        </w:tc>
      </w:tr>
      <w:tr>
        <w:trPr/>
        <w:tc>
          <w:tcPr>
            <w:tcW w:w="7298"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26,286,333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114,804,348</w:t>
            </w:r>
          </w:p>
        </w:tc>
        <w:tc>
          <w:tcPr>
            <w:tcW w:w="87" w:type="dxa"/>
            <w:tcBorders/>
            <w:shd w:fill="CCEEFF" w:val="clear"/>
            <w:vAlign w:val="center"/>
          </w:tcPr>
          <w:p>
            <w:pPr>
              <w:pStyle w:val="TableContents"/>
              <w:bidi w:val="0"/>
              <w:spacing w:before="0" w:after="283"/>
              <w:ind w:left="0" w:right="0" w:hanging="200"/>
              <w:jc w:val="left"/>
              <w:rPr/>
            </w:pPr>
            <w:r>
              <w:rPr/>
              <w:t> </w:t>
            </w:r>
          </w:p>
        </w:tc>
      </w:tr>
      <w:tr>
        <w:trPr/>
        <w:tc>
          <w:tcPr>
            <w:tcW w:w="7298"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9,544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ind w:left="0" w:right="0" w:hanging="200"/>
              <w:jc w:val="left"/>
              <w:rPr/>
            </w:pPr>
            <w:r>
              <w:rPr/>
              <w:t> </w:t>
            </w:r>
          </w:p>
        </w:tc>
      </w:tr>
      <w:tr>
        <w:trPr/>
        <w:tc>
          <w:tcPr>
            <w:tcW w:w="7298"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7,849,479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12,491,133</w:t>
            </w:r>
          </w:p>
        </w:tc>
        <w:tc>
          <w:tcPr>
            <w:tcW w:w="87" w:type="dxa"/>
            <w:tcBorders/>
            <w:shd w:fill="CCEEFF" w:val="clear"/>
            <w:vAlign w:val="center"/>
          </w:tcPr>
          <w:p>
            <w:pPr>
              <w:pStyle w:val="TableContents"/>
              <w:bidi w:val="0"/>
              <w:spacing w:before="0" w:after="283"/>
              <w:ind w:left="0" w:right="0" w:hanging="200"/>
              <w:jc w:val="left"/>
              <w:rPr/>
            </w:pPr>
            <w:r>
              <w:rPr/>
              <w:t> </w:t>
            </w:r>
          </w:p>
        </w:tc>
      </w:tr>
      <w:tr>
        <w:trPr/>
        <w:tc>
          <w:tcPr>
            <w:tcW w:w="7298" w:type="dxa"/>
            <w:tcBorders/>
            <w:shd w:fill="FFFFFF" w:val="clear"/>
            <w:vAlign w:val="center"/>
          </w:tcPr>
          <w:p>
            <w:pPr>
              <w:pStyle w:val="TableContents"/>
              <w:bidi w:val="0"/>
              <w:spacing w:before="0" w:after="283"/>
              <w:jc w:val="left"/>
              <w:rPr/>
            </w:pPr>
            <w:r>
              <w:rPr/>
              <w:t>Prepaid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6,112,779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9,188,914</w:t>
            </w:r>
          </w:p>
        </w:tc>
        <w:tc>
          <w:tcPr>
            <w:tcW w:w="87" w:type="dxa"/>
            <w:tcBorders/>
            <w:shd w:fill="FFFFFF" w:val="clear"/>
            <w:vAlign w:val="center"/>
          </w:tcPr>
          <w:p>
            <w:pPr>
              <w:pStyle w:val="TableContents"/>
              <w:bidi w:val="0"/>
              <w:spacing w:before="0" w:after="283"/>
              <w:ind w:left="0" w:right="0" w:hanging="200"/>
              <w:jc w:val="left"/>
              <w:rPr/>
            </w:pPr>
            <w:r>
              <w:rPr/>
              <w:t> </w:t>
            </w:r>
          </w:p>
        </w:tc>
      </w:tr>
      <w:tr>
        <w:trPr/>
        <w:tc>
          <w:tcPr>
            <w:tcW w:w="7298" w:type="dxa"/>
            <w:tcBorders/>
            <w:shd w:fill="CCEEFF" w:val="clear"/>
            <w:vAlign w:val="center"/>
          </w:tcPr>
          <w:p>
            <w:pPr>
              <w:pStyle w:val="TableContents"/>
              <w:bidi w:val="0"/>
              <w:spacing w:before="0" w:after="283"/>
              <w:jc w:val="left"/>
              <w:rPr/>
            </w:pPr>
            <w:r>
              <w:rPr/>
              <w:t>Other receivables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195,417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8,945,986</w:t>
            </w:r>
          </w:p>
        </w:tc>
        <w:tc>
          <w:tcPr>
            <w:tcW w:w="87" w:type="dxa"/>
            <w:tcBorders/>
            <w:shd w:fill="CCEEFF" w:val="clear"/>
            <w:vAlign w:val="center"/>
          </w:tcPr>
          <w:p>
            <w:pPr>
              <w:pStyle w:val="TableContents"/>
              <w:bidi w:val="0"/>
              <w:spacing w:before="0" w:after="283"/>
              <w:ind w:left="0" w:right="0" w:hanging="200"/>
              <w:jc w:val="left"/>
              <w:rPr/>
            </w:pPr>
            <w:r>
              <w:rPr/>
              <w:t> </w:t>
            </w:r>
          </w:p>
        </w:tc>
      </w:tr>
      <w:tr>
        <w:trPr/>
        <w:tc>
          <w:tcPr>
            <w:tcW w:w="7298" w:type="dxa"/>
            <w:tcBorders/>
            <w:shd w:fill="FFFFFF" w:val="clear"/>
            <w:vAlign w:val="center"/>
          </w:tcPr>
          <w:p>
            <w:pPr>
              <w:pStyle w:val="TableContents"/>
              <w:bidi w:val="0"/>
              <w:spacing w:before="0" w:after="283"/>
              <w:jc w:val="left"/>
              <w:rPr/>
            </w:pPr>
            <w:r>
              <w:rPr/>
              <w:t>Deferred issuance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795,797</w:t>
            </w:r>
          </w:p>
        </w:tc>
        <w:tc>
          <w:tcPr>
            <w:tcW w:w="87" w:type="dxa"/>
            <w:tcBorders/>
            <w:shd w:fill="FFFFFF" w:val="clear"/>
            <w:vAlign w:val="center"/>
          </w:tcPr>
          <w:p>
            <w:pPr>
              <w:pStyle w:val="TableContents"/>
              <w:bidi w:val="0"/>
              <w:spacing w:before="0" w:after="283"/>
              <w:ind w:left="0" w:right="0" w:hanging="200"/>
              <w:jc w:val="left"/>
              <w:rPr/>
            </w:pPr>
            <w:r>
              <w:rPr/>
              <w:t> </w:t>
            </w:r>
          </w:p>
        </w:tc>
      </w:tr>
      <w:tr>
        <w:trPr/>
        <w:tc>
          <w:tcPr>
            <w:tcW w:w="7298" w:type="dxa"/>
            <w:tcBorders/>
            <w:shd w:fill="CCEEFF" w:val="clear"/>
            <w:vAlign w:val="center"/>
          </w:tcPr>
          <w:p>
            <w:pPr>
              <w:pStyle w:val="TableContents"/>
              <w:bidi w:val="0"/>
              <w:spacing w:before="0" w:after="283"/>
              <w:jc w:val="left"/>
              <w:rPr/>
            </w:pPr>
            <w:r>
              <w:rPr/>
              <w:t>Due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949,914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101,336</w:t>
            </w:r>
          </w:p>
        </w:tc>
        <w:tc>
          <w:tcPr>
            <w:tcW w:w="87" w:type="dxa"/>
            <w:tcBorders/>
            <w:shd w:fill="CCEEFF" w:val="clear"/>
            <w:vAlign w:val="center"/>
          </w:tcPr>
          <w:p>
            <w:pPr>
              <w:pStyle w:val="TableContents"/>
              <w:bidi w:val="0"/>
              <w:spacing w:before="0" w:after="283"/>
              <w:ind w:left="0" w:right="0" w:hanging="200"/>
              <w:jc w:val="left"/>
              <w:rPr/>
            </w:pPr>
            <w:r>
              <w:rPr/>
              <w:t> </w:t>
            </w:r>
          </w:p>
        </w:tc>
      </w:tr>
      <w:tr>
        <w:trPr/>
        <w:tc>
          <w:tcPr>
            <w:tcW w:w="7298" w:type="dxa"/>
            <w:tcBorders/>
            <w:shd w:fill="FFFFFF" w:val="clear"/>
            <w:vAlign w:val="center"/>
          </w:tcPr>
          <w:p>
            <w:pPr>
              <w:pStyle w:val="TableContents"/>
              <w:bidi w:val="0"/>
              <w:spacing w:before="0" w:after="283"/>
              <w:jc w:val="left"/>
              <w:rPr/>
            </w:pPr>
            <w:r>
              <w:rPr/>
              <w:t>Intangible assets – cryptocurrencies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22,450,733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32,143,476</w:t>
            </w:r>
          </w:p>
        </w:tc>
        <w:tc>
          <w:tcPr>
            <w:tcW w:w="87" w:type="dxa"/>
            <w:tcBorders/>
            <w:shd w:fill="FFFFFF" w:val="clear"/>
            <w:vAlign w:val="center"/>
          </w:tcPr>
          <w:p>
            <w:pPr>
              <w:pStyle w:val="TableContents"/>
              <w:bidi w:val="0"/>
              <w:spacing w:before="0" w:after="283"/>
              <w:ind w:left="0" w:right="0" w:hanging="200"/>
              <w:jc w:val="left"/>
              <w:rPr/>
            </w:pPr>
            <w:r>
              <w:rPr/>
              <w:t> </w:t>
            </w:r>
          </w:p>
        </w:tc>
      </w:tr>
      <w:tr>
        <w:trPr/>
        <w:tc>
          <w:tcPr>
            <w:tcW w:w="7298" w:type="dxa"/>
            <w:tcBorders/>
            <w:shd w:fill="CCEEFF" w:val="clear"/>
            <w:vAlign w:val="center"/>
          </w:tcPr>
          <w:p>
            <w:pPr>
              <w:pStyle w:val="TableContents"/>
              <w:bidi w:val="0"/>
              <w:spacing w:before="0" w:after="283"/>
              <w:jc w:val="left"/>
              <w:rPr/>
            </w:pPr>
            <w:r>
              <w:rPr/>
              <w:t>Rights to receive cryptocurrencies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4" w:type="dxa"/>
            <w:tcBorders>
              <w:bottom w:val="single" w:sz="12" w:space="0" w:color="000000"/>
            </w:tcBorders>
            <w:shd w:fill="CCEEFF" w:val="clear"/>
            <w:tcMar>
              <w:bottom w:w="28" w:type="dxa"/>
            </w:tcMar>
            <w:vAlign w:val="center"/>
          </w:tcPr>
          <w:p>
            <w:pPr>
              <w:pStyle w:val="TableContents"/>
              <w:bidi w:val="0"/>
              <w:spacing w:before="0" w:after="283"/>
              <w:jc w:val="right"/>
              <w:rPr/>
            </w:pPr>
            <w:r>
              <w:rPr/>
              <w:t>16,193,593</w:t>
            </w:r>
          </w:p>
        </w:tc>
        <w:tc>
          <w:tcPr>
            <w:tcW w:w="87" w:type="dxa"/>
            <w:tcBorders/>
            <w:shd w:fill="CCEEFF" w:val="clear"/>
            <w:vAlign w:val="center"/>
          </w:tcPr>
          <w:p>
            <w:pPr>
              <w:pStyle w:val="TableContents"/>
              <w:bidi w:val="0"/>
              <w:spacing w:before="0" w:after="283"/>
              <w:ind w:left="0" w:right="0" w:hanging="200"/>
              <w:jc w:val="left"/>
              <w:rPr/>
            </w:pPr>
            <w:r>
              <w:rPr/>
              <w:t> </w:t>
            </w:r>
          </w:p>
        </w:tc>
      </w:tr>
      <w:tr>
        <w:trPr/>
        <w:tc>
          <w:tcPr>
            <w:tcW w:w="7298"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63,854,199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194,664,583</w:t>
            </w:r>
          </w:p>
        </w:tc>
        <w:tc>
          <w:tcPr>
            <w:tcW w:w="87" w:type="dxa"/>
            <w:tcBorders/>
            <w:shd w:fill="FFFFFF" w:val="clear"/>
            <w:vAlign w:val="center"/>
          </w:tcPr>
          <w:p>
            <w:pPr>
              <w:pStyle w:val="TableContents"/>
              <w:bidi w:val="0"/>
              <w:spacing w:before="0" w:after="283"/>
              <w:ind w:left="0" w:right="0" w:hanging="200"/>
              <w:jc w:val="left"/>
              <w:rPr/>
            </w:pPr>
            <w:r>
              <w:rPr/>
              <w:t> </w:t>
            </w:r>
          </w:p>
        </w:tc>
      </w:tr>
      <w:tr>
        <w:trPr/>
        <w:tc>
          <w:tcPr>
            <w:tcW w:w="7298" w:type="dxa"/>
            <w:tcBorders/>
            <w:shd w:fill="CCEEFF" w:val="clear"/>
            <w:vAlign w:val="center"/>
          </w:tcPr>
          <w:p>
            <w:pPr>
              <w:pStyle w:val="TableContents"/>
              <w:bidi w:val="0"/>
              <w:spacing w:before="0" w:after="283"/>
              <w:jc w:val="left"/>
              <w:rPr/>
            </w:pPr>
            <w:r>
              <w:rPr/>
              <w:t>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200"/>
              <w:jc w:val="left"/>
              <w:rPr/>
            </w:pPr>
            <w:r>
              <w:rPr/>
              <w:t> </w:t>
            </w:r>
          </w:p>
        </w:tc>
      </w:tr>
      <w:tr>
        <w:trPr/>
        <w:tc>
          <w:tcPr>
            <w:tcW w:w="7298" w:type="dxa"/>
            <w:tcBorders/>
            <w:shd w:fill="FFFFFF" w:val="clear"/>
            <w:vAlign w:val="center"/>
          </w:tcPr>
          <w:p>
            <w:pPr>
              <w:pStyle w:val="TableContents"/>
              <w:bidi w:val="0"/>
              <w:spacing w:before="0" w:after="283"/>
              <w:jc w:val="left"/>
              <w:rPr/>
            </w:pPr>
            <w:r>
              <w:rPr/>
              <w:t>Deposits and other 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1,436,415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1,834,897</w:t>
            </w:r>
          </w:p>
        </w:tc>
        <w:tc>
          <w:tcPr>
            <w:tcW w:w="87" w:type="dxa"/>
            <w:tcBorders/>
            <w:shd w:fill="FFFFFF" w:val="clear"/>
            <w:vAlign w:val="center"/>
          </w:tcPr>
          <w:p>
            <w:pPr>
              <w:pStyle w:val="TableContents"/>
              <w:bidi w:val="0"/>
              <w:spacing w:before="0" w:after="283"/>
              <w:ind w:left="0" w:right="0" w:hanging="200"/>
              <w:jc w:val="left"/>
              <w:rPr/>
            </w:pPr>
            <w:r>
              <w:rPr/>
              <w:t> </w:t>
            </w:r>
          </w:p>
        </w:tc>
      </w:tr>
      <w:tr>
        <w:trPr/>
        <w:tc>
          <w:tcPr>
            <w:tcW w:w="7298" w:type="dxa"/>
            <w:tcBorders/>
            <w:shd w:fill="CCEEFF" w:val="clear"/>
            <w:vAlign w:val="center"/>
          </w:tcPr>
          <w:p>
            <w:pPr>
              <w:pStyle w:val="TableContents"/>
              <w:bidi w:val="0"/>
              <w:spacing w:before="0" w:after="283"/>
              <w:jc w:val="left"/>
              <w:rPr/>
            </w:pPr>
            <w:r>
              <w:rPr/>
              <w:t>Right-of-use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227,320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431,707</w:t>
            </w:r>
          </w:p>
        </w:tc>
        <w:tc>
          <w:tcPr>
            <w:tcW w:w="87" w:type="dxa"/>
            <w:tcBorders/>
            <w:shd w:fill="CCEEFF" w:val="clear"/>
            <w:vAlign w:val="center"/>
          </w:tcPr>
          <w:p>
            <w:pPr>
              <w:pStyle w:val="TableContents"/>
              <w:bidi w:val="0"/>
              <w:spacing w:before="0" w:after="283"/>
              <w:ind w:left="0" w:right="0" w:hanging="200"/>
              <w:jc w:val="left"/>
              <w:rPr/>
            </w:pPr>
            <w:r>
              <w:rPr/>
              <w:t> </w:t>
            </w:r>
          </w:p>
        </w:tc>
      </w:tr>
      <w:tr>
        <w:trPr/>
        <w:tc>
          <w:tcPr>
            <w:tcW w:w="7298" w:type="dxa"/>
            <w:tcBorders/>
            <w:shd w:fill="FFFFFF" w:val="clear"/>
            <w:vAlign w:val="center"/>
          </w:tcPr>
          <w:p>
            <w:pPr>
              <w:pStyle w:val="TableContents"/>
              <w:bidi w:val="0"/>
              <w:spacing w:before="0" w:after="283"/>
              <w:jc w:val="left"/>
              <w:rPr/>
            </w:pPr>
            <w:r>
              <w:rPr/>
              <w:t>Deferred income tax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2,112,353</w:t>
            </w:r>
          </w:p>
        </w:tc>
        <w:tc>
          <w:tcPr>
            <w:tcW w:w="87" w:type="dxa"/>
            <w:tcBorders/>
            <w:shd w:fill="FFFFFF" w:val="clear"/>
            <w:vAlign w:val="center"/>
          </w:tcPr>
          <w:p>
            <w:pPr>
              <w:pStyle w:val="TableContents"/>
              <w:bidi w:val="0"/>
              <w:spacing w:before="0" w:after="283"/>
              <w:ind w:left="0" w:right="0" w:hanging="200"/>
              <w:jc w:val="left"/>
              <w:rPr/>
            </w:pPr>
            <w:r>
              <w:rPr/>
              <w:t> </w:t>
            </w:r>
          </w:p>
        </w:tc>
      </w:tr>
      <w:tr>
        <w:trPr/>
        <w:tc>
          <w:tcPr>
            <w:tcW w:w="7298"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pPr>
            <w:r>
              <w:rPr/>
              <w:t>27,317,731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4" w:type="dxa"/>
            <w:tcBorders>
              <w:bottom w:val="single" w:sz="12" w:space="0" w:color="000000"/>
            </w:tcBorders>
            <w:shd w:fill="CCEEFF" w:val="clear"/>
            <w:tcMar>
              <w:bottom w:w="28" w:type="dxa"/>
            </w:tcMar>
            <w:vAlign w:val="center"/>
          </w:tcPr>
          <w:p>
            <w:pPr>
              <w:pStyle w:val="TableContents"/>
              <w:bidi w:val="0"/>
              <w:spacing w:before="0" w:after="283"/>
              <w:jc w:val="right"/>
              <w:rPr/>
            </w:pPr>
            <w:r>
              <w:rPr/>
              <w:t>71,744,370</w:t>
            </w:r>
          </w:p>
        </w:tc>
        <w:tc>
          <w:tcPr>
            <w:tcW w:w="87" w:type="dxa"/>
            <w:tcBorders/>
            <w:shd w:fill="CCEEFF" w:val="clear"/>
            <w:vAlign w:val="center"/>
          </w:tcPr>
          <w:p>
            <w:pPr>
              <w:pStyle w:val="TableContents"/>
              <w:bidi w:val="0"/>
              <w:spacing w:before="0" w:after="283"/>
              <w:ind w:left="0" w:right="0" w:hanging="200"/>
              <w:jc w:val="left"/>
              <w:rPr/>
            </w:pPr>
            <w:r>
              <w:rPr/>
              <w:t> </w:t>
            </w:r>
          </w:p>
        </w:tc>
      </w:tr>
      <w:tr>
        <w:trPr/>
        <w:tc>
          <w:tcPr>
            <w:tcW w:w="7298"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double" w:sz="10" w:space="0" w:color="000000"/>
            </w:tcBorders>
            <w:shd w:fill="FFFFFF" w:val="clear"/>
            <w:tcMar>
              <w:bottom w:w="28" w:type="dxa"/>
            </w:tcMar>
            <w:vAlign w:val="center"/>
          </w:tcPr>
          <w:p>
            <w:pPr>
              <w:pStyle w:val="TableContents"/>
              <w:bidi w:val="0"/>
              <w:spacing w:before="0" w:after="283"/>
              <w:jc w:val="right"/>
              <w:rPr/>
            </w:pPr>
            <w:r>
              <w:rPr/>
              <w:t>92,835,665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64" w:type="dxa"/>
            <w:tcBorders>
              <w:bottom w:val="double" w:sz="10" w:space="0" w:color="000000"/>
            </w:tcBorders>
            <w:shd w:fill="FFFFFF" w:val="clear"/>
            <w:tcMar>
              <w:bottom w:w="28" w:type="dxa"/>
            </w:tcMar>
            <w:vAlign w:val="center"/>
          </w:tcPr>
          <w:p>
            <w:pPr>
              <w:pStyle w:val="TableContents"/>
              <w:bidi w:val="0"/>
              <w:spacing w:before="0" w:after="283"/>
              <w:jc w:val="right"/>
              <w:rPr/>
            </w:pPr>
            <w:r>
              <w:rPr/>
              <w:t>270,787,910</w:t>
            </w:r>
          </w:p>
        </w:tc>
        <w:tc>
          <w:tcPr>
            <w:tcW w:w="87" w:type="dxa"/>
            <w:tcBorders/>
            <w:shd w:fill="FFFFFF" w:val="clear"/>
            <w:vAlign w:val="center"/>
          </w:tcPr>
          <w:p>
            <w:pPr>
              <w:pStyle w:val="TableContents"/>
              <w:bidi w:val="0"/>
              <w:spacing w:before="0" w:after="283"/>
              <w:jc w:val="left"/>
              <w:rPr/>
            </w:pPr>
            <w:r>
              <w:rPr/>
              <w:t> </w:t>
            </w:r>
          </w:p>
        </w:tc>
      </w:tr>
      <w:tr>
        <w:trPr/>
        <w:tc>
          <w:tcPr>
            <w:tcW w:w="7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200"/>
              <w:jc w:val="left"/>
              <w:rPr/>
            </w:pPr>
            <w:r>
              <w:rPr/>
              <w:t> </w:t>
            </w:r>
          </w:p>
        </w:tc>
      </w:tr>
      <w:tr>
        <w:trPr/>
        <w:tc>
          <w:tcPr>
            <w:tcW w:w="7298" w:type="dxa"/>
            <w:tcBorders/>
            <w:shd w:fill="FFFFFF" w:val="clear"/>
            <w:vAlign w:val="center"/>
          </w:tcPr>
          <w:p>
            <w:pPr>
              <w:pStyle w:val="TableContents"/>
              <w:bidi w:val="0"/>
              <w:spacing w:before="0" w:after="283"/>
              <w:jc w:val="left"/>
              <w:rPr>
                <w:b/>
              </w:rPr>
            </w:pPr>
            <w:r>
              <w:rPr>
                <w:b/>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200"/>
              <w:jc w:val="left"/>
              <w:rPr/>
            </w:pPr>
            <w:r>
              <w:rPr/>
              <w:t> </w:t>
            </w:r>
          </w:p>
        </w:tc>
      </w:tr>
      <w:tr>
        <w:trPr/>
        <w:tc>
          <w:tcPr>
            <w:tcW w:w="7298" w:type="dxa"/>
            <w:tcBorders/>
            <w:shd w:fill="CCEEFF" w:val="clear"/>
            <w:vAlign w:val="center"/>
          </w:tcPr>
          <w:p>
            <w:pPr>
              <w:pStyle w:val="TableContents"/>
              <w:bidi w:val="0"/>
              <w:spacing w:before="0" w:after="283"/>
              <w:jc w:val="left"/>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200"/>
              <w:jc w:val="left"/>
              <w:rPr/>
            </w:pPr>
            <w:r>
              <w:rPr/>
              <w:t> </w:t>
            </w:r>
          </w:p>
        </w:tc>
      </w:tr>
      <w:tr>
        <w:trPr/>
        <w:tc>
          <w:tcPr>
            <w:tcW w:w="7298"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200"/>
              <w:jc w:val="left"/>
              <w:rPr/>
            </w:pPr>
            <w:r>
              <w:rPr/>
              <w:t> </w:t>
            </w:r>
          </w:p>
        </w:tc>
      </w:tr>
      <w:tr>
        <w:trPr/>
        <w:tc>
          <w:tcPr>
            <w:tcW w:w="7298" w:type="dxa"/>
            <w:tcBorders/>
            <w:shd w:fill="CCEEFF" w:val="clear"/>
            <w:vAlign w:val="center"/>
          </w:tcPr>
          <w:p>
            <w:pPr>
              <w:pStyle w:val="TableContents"/>
              <w:bidi w:val="0"/>
              <w:spacing w:before="0" w:after="283"/>
              <w:jc w:val="left"/>
              <w:rPr/>
            </w:pPr>
            <w:r>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3,288,728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7,190,436</w:t>
            </w:r>
          </w:p>
        </w:tc>
        <w:tc>
          <w:tcPr>
            <w:tcW w:w="87" w:type="dxa"/>
            <w:tcBorders/>
            <w:shd w:fill="CCEEFF" w:val="clear"/>
            <w:vAlign w:val="center"/>
          </w:tcPr>
          <w:p>
            <w:pPr>
              <w:pStyle w:val="TableContents"/>
              <w:bidi w:val="0"/>
              <w:spacing w:before="0" w:after="283"/>
              <w:ind w:left="0" w:right="0" w:hanging="200"/>
              <w:jc w:val="left"/>
              <w:rPr/>
            </w:pPr>
            <w:r>
              <w:rPr/>
              <w:t> </w:t>
            </w:r>
          </w:p>
        </w:tc>
      </w:tr>
      <w:tr>
        <w:trPr/>
        <w:tc>
          <w:tcPr>
            <w:tcW w:w="7298" w:type="dxa"/>
            <w:tcBorders/>
            <w:shd w:fill="FFFFFF" w:val="clear"/>
            <w:vAlign w:val="center"/>
          </w:tcPr>
          <w:p>
            <w:pPr>
              <w:pStyle w:val="TableContents"/>
              <w:bidi w:val="0"/>
              <w:spacing w:before="0" w:after="283"/>
              <w:jc w:val="left"/>
              <w:rPr/>
            </w:pPr>
            <w:r>
              <w:rPr/>
              <w:t>Taxes payable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34,086,665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51,845,186</w:t>
            </w:r>
          </w:p>
        </w:tc>
        <w:tc>
          <w:tcPr>
            <w:tcW w:w="87" w:type="dxa"/>
            <w:tcBorders/>
            <w:shd w:fill="FFFFFF" w:val="clear"/>
            <w:vAlign w:val="center"/>
          </w:tcPr>
          <w:p>
            <w:pPr>
              <w:pStyle w:val="TableContents"/>
              <w:bidi w:val="0"/>
              <w:spacing w:before="0" w:after="283"/>
              <w:ind w:left="0" w:right="0" w:hanging="200"/>
              <w:jc w:val="left"/>
              <w:rPr/>
            </w:pPr>
            <w:r>
              <w:rPr/>
              <w:t> </w:t>
            </w:r>
          </w:p>
        </w:tc>
      </w:tr>
      <w:tr>
        <w:trPr/>
        <w:tc>
          <w:tcPr>
            <w:tcW w:w="7298"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267,726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952,340</w:t>
            </w:r>
          </w:p>
        </w:tc>
        <w:tc>
          <w:tcPr>
            <w:tcW w:w="87" w:type="dxa"/>
            <w:tcBorders/>
            <w:shd w:fill="CCEEFF" w:val="clear"/>
            <w:vAlign w:val="center"/>
          </w:tcPr>
          <w:p>
            <w:pPr>
              <w:pStyle w:val="TableContents"/>
              <w:bidi w:val="0"/>
              <w:spacing w:before="0" w:after="283"/>
              <w:ind w:left="0" w:right="0" w:hanging="200"/>
              <w:jc w:val="left"/>
              <w:rPr/>
            </w:pPr>
            <w:r>
              <w:rPr/>
              <w:t> </w:t>
            </w:r>
          </w:p>
        </w:tc>
      </w:tr>
      <w:tr>
        <w:trPr/>
        <w:tc>
          <w:tcPr>
            <w:tcW w:w="7298" w:type="dxa"/>
            <w:tcBorders/>
            <w:shd w:fill="FFFFFF" w:val="clear"/>
            <w:vAlign w:val="center"/>
          </w:tcPr>
          <w:p>
            <w:pPr>
              <w:pStyle w:val="TableContents"/>
              <w:bidi w:val="0"/>
              <w:spacing w:before="0" w:after="283"/>
              <w:jc w:val="left"/>
              <w:rPr/>
            </w:pPr>
            <w:r>
              <w:rPr/>
              <w:t>Due to related party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23,781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10,363</w:t>
            </w:r>
          </w:p>
        </w:tc>
        <w:tc>
          <w:tcPr>
            <w:tcW w:w="87" w:type="dxa"/>
            <w:tcBorders/>
            <w:shd w:fill="FFFFFF" w:val="clear"/>
            <w:vAlign w:val="center"/>
          </w:tcPr>
          <w:p>
            <w:pPr>
              <w:pStyle w:val="TableContents"/>
              <w:bidi w:val="0"/>
              <w:spacing w:before="0" w:after="283"/>
              <w:ind w:left="0" w:right="0" w:hanging="200"/>
              <w:jc w:val="left"/>
              <w:rPr/>
            </w:pPr>
            <w:r>
              <w:rPr/>
              <w:t> </w:t>
            </w:r>
          </w:p>
        </w:tc>
      </w:tr>
      <w:tr>
        <w:trPr/>
        <w:tc>
          <w:tcPr>
            <w:tcW w:w="7298" w:type="dxa"/>
            <w:tcBorders/>
            <w:shd w:fill="CCEEFF" w:val="clear"/>
            <w:vAlign w:val="center"/>
          </w:tcPr>
          <w:p>
            <w:pPr>
              <w:pStyle w:val="TableContents"/>
              <w:bidi w:val="0"/>
              <w:spacing w:before="0" w:after="283"/>
              <w:jc w:val="left"/>
              <w:rPr/>
            </w:pPr>
            <w:r>
              <w:rPr/>
              <w:t>Operating lease liabilities – current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131,672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322,388</w:t>
            </w:r>
          </w:p>
        </w:tc>
        <w:tc>
          <w:tcPr>
            <w:tcW w:w="87" w:type="dxa"/>
            <w:tcBorders/>
            <w:shd w:fill="CCEEFF" w:val="clear"/>
            <w:vAlign w:val="center"/>
          </w:tcPr>
          <w:p>
            <w:pPr>
              <w:pStyle w:val="TableContents"/>
              <w:bidi w:val="0"/>
              <w:spacing w:before="0" w:after="283"/>
              <w:ind w:left="0" w:right="0" w:hanging="200"/>
              <w:jc w:val="left"/>
              <w:rPr/>
            </w:pPr>
            <w:r>
              <w:rPr/>
              <w:t> </w:t>
            </w:r>
          </w:p>
        </w:tc>
      </w:tr>
      <w:tr>
        <w:trPr/>
        <w:tc>
          <w:tcPr>
            <w:tcW w:w="7298" w:type="dxa"/>
            <w:tcBorders/>
            <w:shd w:fill="FFFFFF" w:val="clear"/>
            <w:vAlign w:val="center"/>
          </w:tcPr>
          <w:p>
            <w:pPr>
              <w:pStyle w:val="TableContents"/>
              <w:bidi w:val="0"/>
              <w:spacing w:before="0" w:after="283"/>
              <w:jc w:val="left"/>
              <w:rPr/>
            </w:pPr>
            <w:r>
              <w:rPr/>
              <w:t>Other payables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pPr>
            <w:r>
              <w:rPr/>
              <w:t>199,384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4" w:type="dxa"/>
            <w:tcBorders>
              <w:bottom w:val="single" w:sz="12" w:space="0" w:color="000000"/>
            </w:tcBorders>
            <w:shd w:fill="FFFFFF" w:val="clear"/>
            <w:tcMar>
              <w:bottom w:w="28" w:type="dxa"/>
            </w:tcMar>
            <w:vAlign w:val="center"/>
          </w:tcPr>
          <w:p>
            <w:pPr>
              <w:pStyle w:val="TableContents"/>
              <w:bidi w:val="0"/>
              <w:spacing w:before="0" w:after="283"/>
              <w:jc w:val="right"/>
              <w:rPr/>
            </w:pPr>
            <w:r>
              <w:rPr/>
              <w:t>281,898</w:t>
            </w:r>
          </w:p>
        </w:tc>
        <w:tc>
          <w:tcPr>
            <w:tcW w:w="87" w:type="dxa"/>
            <w:tcBorders/>
            <w:shd w:fill="FFFFFF" w:val="clear"/>
            <w:vAlign w:val="center"/>
          </w:tcPr>
          <w:p>
            <w:pPr>
              <w:pStyle w:val="TableContents"/>
              <w:bidi w:val="0"/>
              <w:spacing w:before="0" w:after="283"/>
              <w:ind w:left="0" w:right="0" w:hanging="200"/>
              <w:jc w:val="left"/>
              <w:rPr/>
            </w:pPr>
            <w:r>
              <w:rPr/>
              <w:t> </w:t>
            </w:r>
          </w:p>
        </w:tc>
      </w:tr>
      <w:tr>
        <w:trPr/>
        <w:tc>
          <w:tcPr>
            <w:tcW w:w="7298"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37,997,956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60,602,611</w:t>
            </w:r>
          </w:p>
        </w:tc>
        <w:tc>
          <w:tcPr>
            <w:tcW w:w="87" w:type="dxa"/>
            <w:tcBorders/>
            <w:shd w:fill="CCEEFF" w:val="clear"/>
            <w:vAlign w:val="center"/>
          </w:tcPr>
          <w:p>
            <w:pPr>
              <w:pStyle w:val="TableContents"/>
              <w:bidi w:val="0"/>
              <w:spacing w:before="0" w:after="283"/>
              <w:ind w:left="0" w:right="0" w:hanging="200"/>
              <w:jc w:val="left"/>
              <w:rPr/>
            </w:pPr>
            <w:r>
              <w:rPr/>
              <w:t> </w:t>
            </w:r>
          </w:p>
        </w:tc>
      </w:tr>
      <w:tr>
        <w:trPr/>
        <w:tc>
          <w:tcPr>
            <w:tcW w:w="72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200"/>
              <w:jc w:val="left"/>
              <w:rPr/>
            </w:pPr>
            <w:r>
              <w:rPr/>
              <w:t> </w:t>
            </w:r>
          </w:p>
        </w:tc>
      </w:tr>
      <w:tr>
        <w:trPr/>
        <w:tc>
          <w:tcPr>
            <w:tcW w:w="7298" w:type="dxa"/>
            <w:tcBorders/>
            <w:shd w:fill="CCEEFF" w:val="clear"/>
            <w:vAlign w:val="center"/>
          </w:tcPr>
          <w:p>
            <w:pPr>
              <w:pStyle w:val="TableContents"/>
              <w:bidi w:val="0"/>
              <w:spacing w:before="0" w:after="283"/>
              <w:jc w:val="left"/>
              <w:rPr/>
            </w:pPr>
            <w:r>
              <w:rPr/>
              <w:t>Operating lease liabilities – non-current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CCEEFF" w:val="clear"/>
            <w:tcMar>
              <w:bottom w:w="28" w:type="dxa"/>
            </w:tcMar>
            <w:vAlign w:val="center"/>
          </w:tcPr>
          <w:p>
            <w:pPr>
              <w:pStyle w:val="TableContents"/>
              <w:bidi w:val="0"/>
              <w:spacing w:before="0" w:after="283"/>
              <w:jc w:val="right"/>
              <w:rPr/>
            </w:pPr>
            <w:r>
              <w:rPr/>
              <w:t>88,125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64" w:type="dxa"/>
            <w:tcBorders>
              <w:bottom w:val="single" w:sz="12" w:space="0" w:color="000000"/>
            </w:tcBorders>
            <w:shd w:fill="CCEEFF" w:val="clear"/>
            <w:tcMar>
              <w:bottom w:w="28" w:type="dxa"/>
            </w:tcMar>
            <w:vAlign w:val="center"/>
          </w:tcPr>
          <w:p>
            <w:pPr>
              <w:pStyle w:val="TableContents"/>
              <w:bidi w:val="0"/>
              <w:spacing w:before="0" w:after="283"/>
              <w:jc w:val="right"/>
              <w:rPr/>
            </w:pPr>
            <w:r>
              <w:rPr/>
              <w:t>123,015</w:t>
            </w:r>
          </w:p>
        </w:tc>
        <w:tc>
          <w:tcPr>
            <w:tcW w:w="87" w:type="dxa"/>
            <w:tcBorders/>
            <w:shd w:fill="CCEEFF" w:val="clear"/>
            <w:vAlign w:val="center"/>
          </w:tcPr>
          <w:p>
            <w:pPr>
              <w:pStyle w:val="TableContents"/>
              <w:bidi w:val="0"/>
              <w:spacing w:before="0" w:after="283"/>
              <w:ind w:left="0" w:right="0" w:hanging="200"/>
              <w:jc w:val="left"/>
              <w:rPr/>
            </w:pPr>
            <w:r>
              <w:rPr/>
              <w:t> </w:t>
            </w:r>
          </w:p>
        </w:tc>
      </w:tr>
      <w:tr>
        <w:trPr/>
        <w:tc>
          <w:tcPr>
            <w:tcW w:w="7298"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double" w:sz="10" w:space="0" w:color="000000"/>
            </w:tcBorders>
            <w:shd w:fill="FFFFFF" w:val="clear"/>
            <w:tcMar>
              <w:bottom w:w="28" w:type="dxa"/>
            </w:tcMar>
            <w:vAlign w:val="center"/>
          </w:tcPr>
          <w:p>
            <w:pPr>
              <w:pStyle w:val="TableContents"/>
              <w:bidi w:val="0"/>
              <w:spacing w:before="0" w:after="283"/>
              <w:jc w:val="right"/>
              <w:rPr/>
            </w:pPr>
            <w:r>
              <w:rPr/>
              <w:t>38,086,081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364" w:type="dxa"/>
            <w:tcBorders>
              <w:bottom w:val="double" w:sz="10" w:space="0" w:color="000000"/>
            </w:tcBorders>
            <w:shd w:fill="FFFFFF" w:val="clear"/>
            <w:tcMar>
              <w:bottom w:w="28" w:type="dxa"/>
            </w:tcMar>
            <w:vAlign w:val="center"/>
          </w:tcPr>
          <w:p>
            <w:pPr>
              <w:pStyle w:val="TableContents"/>
              <w:bidi w:val="0"/>
              <w:spacing w:before="0" w:after="283"/>
              <w:jc w:val="right"/>
              <w:rPr/>
            </w:pPr>
            <w:r>
              <w:rPr/>
              <w:t>60,725,626</w:t>
            </w:r>
          </w:p>
        </w:tc>
        <w:tc>
          <w:tcPr>
            <w:tcW w:w="87" w:type="dxa"/>
            <w:tcBorders/>
            <w:shd w:fill="FFFFFF" w:val="clear"/>
            <w:vAlign w:val="center"/>
          </w:tcPr>
          <w:p>
            <w:pPr>
              <w:pStyle w:val="TableContents"/>
              <w:bidi w:val="0"/>
              <w:spacing w:before="0" w:after="283"/>
              <w:jc w:val="left"/>
              <w:rPr/>
            </w:pPr>
            <w:r>
              <w:rPr/>
              <w:t> </w:t>
            </w:r>
          </w:p>
        </w:tc>
      </w:tr>
      <w:tr>
        <w:trPr/>
        <w:tc>
          <w:tcPr>
            <w:tcW w:w="72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200"/>
              <w:jc w:val="left"/>
              <w:rPr/>
            </w:pPr>
            <w:r>
              <w:rPr/>
              <w:t> </w:t>
            </w:r>
          </w:p>
        </w:tc>
      </w:tr>
      <w:tr>
        <w:trPr/>
        <w:tc>
          <w:tcPr>
            <w:tcW w:w="7298" w:type="dxa"/>
            <w:tcBorders/>
            <w:shd w:fill="FFFFFF" w:val="clear"/>
            <w:vAlign w:val="center"/>
          </w:tcPr>
          <w:p>
            <w:pPr>
              <w:pStyle w:val="TableContents"/>
              <w:bidi w:val="0"/>
              <w:spacing w:before="0" w:after="283"/>
              <w:jc w:val="left"/>
              <w:rPr>
                <w:b/>
              </w:rPr>
            </w:pPr>
            <w:r>
              <w:rPr>
                <w:b/>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ind w:left="0" w:right="0" w:hanging="200"/>
              <w:jc w:val="left"/>
              <w:rPr/>
            </w:pPr>
            <w:r>
              <w:rPr/>
              <w:t> </w:t>
            </w:r>
          </w:p>
        </w:tc>
      </w:tr>
      <w:tr>
        <w:trPr/>
        <w:tc>
          <w:tcPr>
            <w:tcW w:w="7298"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 </w:t>
            </w:r>
          </w:p>
        </w:tc>
        <w:tc>
          <w:tcPr>
            <w:tcW w:w="87" w:type="dxa"/>
            <w:tcBorders/>
            <w:shd w:fill="CCEEFF" w:val="clear"/>
            <w:vAlign w:val="center"/>
          </w:tcPr>
          <w:p>
            <w:pPr>
              <w:pStyle w:val="TableContents"/>
              <w:bidi w:val="0"/>
              <w:spacing w:before="0" w:after="283"/>
              <w:ind w:left="0" w:right="0" w:hanging="200"/>
              <w:jc w:val="left"/>
              <w:rPr/>
            </w:pPr>
            <w:r>
              <w:rPr/>
              <w:t> </w:t>
            </w:r>
          </w:p>
        </w:tc>
      </w:tr>
      <w:tr>
        <w:trPr/>
        <w:tc>
          <w:tcPr>
            <w:tcW w:w="7298" w:type="dxa"/>
            <w:tcBorders/>
            <w:shd w:fill="FFFFFF" w:val="clear"/>
            <w:vAlign w:val="center"/>
          </w:tcPr>
          <w:p>
            <w:pPr>
              <w:pStyle w:val="TableContents"/>
              <w:bidi w:val="0"/>
              <w:spacing w:before="0" w:after="283"/>
              <w:jc w:val="left"/>
              <w:rPr/>
            </w:pPr>
            <w:r>
              <w:rPr/>
              <w:t>Class A ordinary shares, $0.0000695652173913043 par value, 852,581,250 shares authorized, 90,581,566 and 85,258,128 issued and outstanding as of December 31,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2,347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ind w:left="0" w:right="0" w:hanging="200"/>
              <w:jc w:val="left"/>
              <w:rPr/>
            </w:pPr>
            <w:r>
              <w:rPr/>
              <w:t> </w:t>
            </w:r>
          </w:p>
        </w:tc>
      </w:tr>
      <w:tr>
        <w:trPr/>
        <w:tc>
          <w:tcPr>
            <w:tcW w:w="7298" w:type="dxa"/>
            <w:tcBorders/>
            <w:shd w:fill="CCEEFF" w:val="clear"/>
            <w:vAlign w:val="center"/>
          </w:tcPr>
          <w:p>
            <w:pPr>
              <w:pStyle w:val="TableContents"/>
              <w:bidi w:val="0"/>
              <w:spacing w:before="0" w:after="283"/>
              <w:jc w:val="left"/>
              <w:rPr/>
            </w:pPr>
            <w:r>
              <w:rPr/>
              <w:t>Class B ordinary shares, $0.0000695652173913043 par value, 225,543,750 shares authorized, 22,554,375 and 22,554,375 shares issued and outstanding as of December 31, 2025 and December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523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ind w:left="0" w:right="0" w:hanging="200"/>
              <w:jc w:val="left"/>
              <w:rPr/>
            </w:pPr>
            <w:r>
              <w:rPr/>
              <w:t> </w:t>
            </w:r>
          </w:p>
        </w:tc>
      </w:tr>
      <w:tr>
        <w:trPr/>
        <w:tc>
          <w:tcPr>
            <w:tcW w:w="7298"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right"/>
              <w:rPr/>
            </w:pPr>
            <w:r>
              <w:rPr/>
              <w:t>26,637,236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64" w:type="dxa"/>
            <w:tcBorders/>
            <w:shd w:fill="FFFFFF" w:val="clear"/>
            <w:vAlign w:val="center"/>
          </w:tcPr>
          <w:p>
            <w:pPr>
              <w:pStyle w:val="TableContents"/>
              <w:bidi w:val="0"/>
              <w:spacing w:before="0" w:after="283"/>
              <w:jc w:val="right"/>
              <w:rPr/>
            </w:pPr>
            <w:r>
              <w:rPr/>
              <w:t>—</w:t>
            </w:r>
          </w:p>
        </w:tc>
        <w:tc>
          <w:tcPr>
            <w:tcW w:w="87" w:type="dxa"/>
            <w:tcBorders/>
            <w:shd w:fill="FFFFFF" w:val="clear"/>
            <w:vAlign w:val="center"/>
          </w:tcPr>
          <w:p>
            <w:pPr>
              <w:pStyle w:val="TableContents"/>
              <w:bidi w:val="0"/>
              <w:spacing w:before="0" w:after="283"/>
              <w:ind w:left="0" w:right="0" w:hanging="200"/>
              <w:jc w:val="left"/>
              <w:rPr/>
            </w:pPr>
            <w:r>
              <w:rPr/>
              <w:t> </w:t>
            </w:r>
          </w:p>
        </w:tc>
      </w:tr>
      <w:tr>
        <w:trPr/>
        <w:tc>
          <w:tcPr>
            <w:tcW w:w="7298" w:type="dxa"/>
            <w:tcBorders/>
            <w:shd w:fill="CCEEFF" w:val="clear"/>
            <w:vAlign w:val="center"/>
          </w:tcPr>
          <w:p>
            <w:pPr>
              <w:pStyle w:val="TableContents"/>
              <w:bidi w:val="0"/>
              <w:spacing w:before="0" w:after="283"/>
              <w:jc w:val="left"/>
              <w:rPr/>
            </w:pPr>
            <w:r>
              <w:rPr/>
              <w:t>Retained earnings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28,096,362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209,954,196</w:t>
            </w:r>
          </w:p>
        </w:tc>
        <w:tc>
          <w:tcPr>
            <w:tcW w:w="87" w:type="dxa"/>
            <w:tcBorders/>
            <w:shd w:fill="CCEEFF" w:val="clear"/>
            <w:vAlign w:val="center"/>
          </w:tcPr>
          <w:p>
            <w:pPr>
              <w:pStyle w:val="TableContents"/>
              <w:bidi w:val="0"/>
              <w:spacing w:before="0" w:after="283"/>
              <w:ind w:left="0" w:right="0" w:hanging="200"/>
              <w:jc w:val="left"/>
              <w:rPr/>
            </w:pPr>
            <w:r>
              <w:rPr/>
              <w:t> </w:t>
            </w:r>
          </w:p>
        </w:tc>
      </w:tr>
      <w:tr>
        <w:trPr/>
        <w:tc>
          <w:tcPr>
            <w:tcW w:w="7298" w:type="dxa"/>
            <w:tcBorders/>
            <w:shd w:fill="FFFFFF" w:val="clear"/>
            <w:vAlign w:val="center"/>
          </w:tcPr>
          <w:p>
            <w:pPr>
              <w:pStyle w:val="TableContents"/>
              <w:bidi w:val="0"/>
              <w:spacing w:before="0" w:after="283"/>
              <w:jc w:val="left"/>
              <w:rPr/>
            </w:pPr>
            <w:r>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pPr>
            <w:r>
              <w:rPr/>
              <w:t>(244,059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4" w:type="dxa"/>
            <w:tcBorders>
              <w:bottom w:val="single" w:sz="12" w:space="0" w:color="000000"/>
            </w:tcBorders>
            <w:shd w:fill="FFFFFF" w:val="clear"/>
            <w:tcMar>
              <w:bottom w:w="28" w:type="dxa"/>
            </w:tcMar>
            <w:vAlign w:val="center"/>
          </w:tcPr>
          <w:p>
            <w:pPr>
              <w:pStyle w:val="TableContents"/>
              <w:bidi w:val="0"/>
              <w:spacing w:before="0" w:after="283"/>
              <w:jc w:val="right"/>
              <w:rPr/>
            </w:pPr>
            <w:r>
              <w:rPr/>
              <w:t>(244,059</w:t>
            </w:r>
          </w:p>
        </w:tc>
        <w:tc>
          <w:tcPr>
            <w:tcW w:w="87" w:type="dxa"/>
            <w:tcBorders/>
            <w:shd w:fill="FFFFFF" w:val="clear"/>
            <w:vAlign w:val="center"/>
          </w:tcPr>
          <w:p>
            <w:pPr>
              <w:pStyle w:val="TableContents"/>
              <w:bidi w:val="0"/>
              <w:spacing w:before="0" w:after="283"/>
              <w:ind w:left="0" w:right="0" w:hanging="200"/>
              <w:jc w:val="left"/>
              <w:rPr/>
            </w:pPr>
            <w:r>
              <w:rPr/>
              <w:t>)</w:t>
            </w:r>
          </w:p>
        </w:tc>
      </w:tr>
      <w:tr>
        <w:trPr/>
        <w:tc>
          <w:tcPr>
            <w:tcW w:w="7298" w:type="dxa"/>
            <w:tcBorders/>
            <w:shd w:fill="CCEEFF" w:val="clear"/>
            <w:vAlign w:val="center"/>
          </w:tcPr>
          <w:p>
            <w:pPr>
              <w:pStyle w:val="TableContents"/>
              <w:bidi w:val="0"/>
              <w:spacing w:before="0" w:after="283"/>
              <w:jc w:val="left"/>
              <w:rPr>
                <w:b/>
              </w:rPr>
            </w:pPr>
            <w:r>
              <w:rPr>
                <w:b/>
              </w:rPr>
              <w:t>Total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right"/>
              <w:rPr/>
            </w:pPr>
            <w:r>
              <w:rPr/>
              <w:t>54,492,409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64" w:type="dxa"/>
            <w:tcBorders/>
            <w:shd w:fill="CCEEFF" w:val="clear"/>
            <w:vAlign w:val="center"/>
          </w:tcPr>
          <w:p>
            <w:pPr>
              <w:pStyle w:val="TableContents"/>
              <w:bidi w:val="0"/>
              <w:spacing w:before="0" w:after="283"/>
              <w:jc w:val="right"/>
              <w:rPr/>
            </w:pPr>
            <w:r>
              <w:rPr/>
              <w:t>209,710,137</w:t>
            </w:r>
          </w:p>
        </w:tc>
        <w:tc>
          <w:tcPr>
            <w:tcW w:w="87" w:type="dxa"/>
            <w:tcBorders/>
            <w:shd w:fill="CCEEFF" w:val="clear"/>
            <w:vAlign w:val="center"/>
          </w:tcPr>
          <w:p>
            <w:pPr>
              <w:pStyle w:val="TableContents"/>
              <w:bidi w:val="0"/>
              <w:spacing w:before="0" w:after="283"/>
              <w:ind w:left="0" w:right="0" w:hanging="200"/>
              <w:jc w:val="left"/>
              <w:rPr/>
            </w:pPr>
            <w:r>
              <w:rPr/>
              <w:t> </w:t>
            </w:r>
          </w:p>
        </w:tc>
      </w:tr>
      <w:tr>
        <w:trPr/>
        <w:tc>
          <w:tcPr>
            <w:tcW w:w="7298" w:type="dxa"/>
            <w:tcBorders/>
            <w:shd w:fill="FFFFFF" w:val="clear"/>
            <w:vAlign w:val="center"/>
          </w:tcPr>
          <w:p>
            <w:pPr>
              <w:pStyle w:val="TableContents"/>
              <w:bidi w:val="0"/>
              <w:spacing w:before="0" w:after="283"/>
              <w:jc w:val="left"/>
              <w:rPr/>
            </w:pPr>
            <w:r>
              <w:rPr/>
              <w:t>Non-controlling interest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115" w:type="dxa"/>
            <w:tcBorders>
              <w:bottom w:val="single" w:sz="12" w:space="0" w:color="000000"/>
            </w:tcBorders>
            <w:shd w:fill="FFFFFF" w:val="clear"/>
            <w:tcMar>
              <w:bottom w:w="28" w:type="dxa"/>
            </w:tcMar>
            <w:vAlign w:val="center"/>
          </w:tcPr>
          <w:p>
            <w:pPr>
              <w:pStyle w:val="TableContents"/>
              <w:bidi w:val="0"/>
              <w:spacing w:before="0" w:after="283"/>
              <w:jc w:val="right"/>
              <w:rPr/>
            </w:pPr>
            <w:r>
              <w:rPr/>
              <w:t>257,175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64" w:type="dxa"/>
            <w:tcBorders>
              <w:bottom w:val="single" w:sz="12" w:space="0" w:color="000000"/>
            </w:tcBorders>
            <w:shd w:fill="FFFFFF" w:val="clear"/>
            <w:tcMar>
              <w:bottom w:w="28" w:type="dxa"/>
            </w:tcMar>
            <w:vAlign w:val="center"/>
          </w:tcPr>
          <w:p>
            <w:pPr>
              <w:pStyle w:val="TableContents"/>
              <w:bidi w:val="0"/>
              <w:spacing w:before="0" w:after="283"/>
              <w:jc w:val="right"/>
              <w:rPr/>
            </w:pPr>
            <w:r>
              <w:rPr/>
              <w:t>352,147</w:t>
            </w:r>
          </w:p>
        </w:tc>
        <w:tc>
          <w:tcPr>
            <w:tcW w:w="87" w:type="dxa"/>
            <w:tcBorders/>
            <w:shd w:fill="FFFFFF" w:val="clear"/>
            <w:vAlign w:val="center"/>
          </w:tcPr>
          <w:p>
            <w:pPr>
              <w:pStyle w:val="TableContents"/>
              <w:bidi w:val="0"/>
              <w:spacing w:before="0" w:after="283"/>
              <w:ind w:left="0" w:right="0" w:hanging="200"/>
              <w:jc w:val="left"/>
              <w:rPr/>
            </w:pPr>
            <w:r>
              <w:rPr/>
              <w:t> </w:t>
            </w:r>
          </w:p>
        </w:tc>
      </w:tr>
      <w:tr>
        <w:trPr/>
        <w:tc>
          <w:tcPr>
            <w:tcW w:w="7298"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115" w:type="dxa"/>
            <w:tcBorders>
              <w:bottom w:val="double" w:sz="10" w:space="0" w:color="000000"/>
            </w:tcBorders>
            <w:shd w:fill="CCEEFF" w:val="clear"/>
            <w:tcMar>
              <w:bottom w:w="28" w:type="dxa"/>
            </w:tcMar>
            <w:vAlign w:val="center"/>
          </w:tcPr>
          <w:p>
            <w:pPr>
              <w:pStyle w:val="TableContents"/>
              <w:bidi w:val="0"/>
              <w:spacing w:before="0" w:after="283"/>
              <w:jc w:val="right"/>
              <w:rPr/>
            </w:pPr>
            <w:r>
              <w:rPr/>
              <w:t>92,835,665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364" w:type="dxa"/>
            <w:tcBorders>
              <w:bottom w:val="double" w:sz="10" w:space="0" w:color="000000"/>
            </w:tcBorders>
            <w:shd w:fill="CCEEFF" w:val="clear"/>
            <w:tcMar>
              <w:bottom w:w="28" w:type="dxa"/>
            </w:tcMar>
            <w:vAlign w:val="center"/>
          </w:tcPr>
          <w:p>
            <w:pPr>
              <w:pStyle w:val="TableContents"/>
              <w:bidi w:val="0"/>
              <w:spacing w:before="0" w:after="283"/>
              <w:jc w:val="right"/>
              <w:rPr/>
            </w:pPr>
            <w:r>
              <w:rPr/>
              <w:t>270,787,910</w:t>
            </w:r>
          </w:p>
        </w:tc>
        <w:tc>
          <w:tcPr>
            <w:tcW w:w="87"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center"/>
        <w:rPr>
          <w:caps/>
        </w:rPr>
      </w:pPr>
      <w:r>
        <w:rPr>
          <w:caps/>
        </w:rPr>
        <w:t> </w:t>
      </w:r>
    </w:p>
    <w:p>
      <w:pPr>
        <w:pStyle w:val="TextBody"/>
        <w:bidi w:val="0"/>
        <w:spacing w:before="0" w:after="0"/>
        <w:jc w:val="center"/>
        <w:rPr>
          <w:caps/>
        </w:rPr>
      </w:pPr>
      <w:r>
        <w:rPr>
          <w:caps/>
        </w:rPr>
        <w:drawing>
          <wp:inline distT="0" distB="0" distL="0" distR="0">
            <wp:extent cx="5943600" cy="7143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943600" cy="714375"/>
                    </a:xfrm>
                    <a:prstGeom prst="rect">
                      <a:avLst/>
                    </a:prstGeom>
                  </pic:spPr>
                </pic:pic>
              </a:graphicData>
            </a:graphic>
          </wp:inline>
        </w:drawing>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BGIN BLOCKCHAIN LIMITED</w:t>
        <w:br/>
      </w:r>
      <w:r>
        <w:rPr>
          <w:rFonts w:ascii="Times New Roman;Times;Serif" w:hAnsi="Times New Roman;Times;Serif"/>
          <w:b/>
          <w:i w:val="false"/>
          <w:caps w:val="false"/>
          <w:smallCaps w:val="false"/>
          <w:sz w:val="20"/>
        </w:rPr>
        <w:t>CONSOLIDATED STATEMENTS OF OPERATIONS AND COMPREHENSIVE (LOSS) INCOME</w:t>
        <w:br/>
        <w:t>FOR THE YEARS ENDED DECEMBER 31, 2025, 2024 AND 2023</w:t>
        <w:br/>
        <w:t>(US$, except for number of shares data, or otherwise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74"/>
        <w:gridCol w:w="60"/>
        <w:gridCol w:w="60"/>
        <w:gridCol w:w="1295"/>
        <w:gridCol w:w="95"/>
        <w:gridCol w:w="60"/>
        <w:gridCol w:w="63"/>
        <w:gridCol w:w="1294"/>
        <w:gridCol w:w="95"/>
        <w:gridCol w:w="60"/>
        <w:gridCol w:w="63"/>
        <w:gridCol w:w="1294"/>
        <w:gridCol w:w="92"/>
      </w:tblGrid>
      <w:tr>
        <w:trPr/>
        <w:tc>
          <w:tcPr>
            <w:tcW w:w="56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For The </w:t>
              <w:br/>
              <w:t>Year</w:t>
            </w:r>
            <w:r>
              <w:rPr>
                <w:rFonts w:ascii="Times New Roman;Times;Serif" w:hAnsi="Times New Roman;Times;Serif"/>
                <w:b/>
                <w:sz w:val="20"/>
                <w:u w:val="single"/>
              </w:rPr>
              <w:br/>
            </w:r>
            <w:r>
              <w:rPr>
                <w:rFonts w:ascii="Times New Roman;Times;Serif" w:hAnsi="Times New Roman;Times;Serif"/>
                <w:b/>
                <w:sz w:val="20"/>
              </w:rPr>
              <w:t xml:space="preserve">Ended </w:t>
              <w:b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w:t>
              <w:br/>
              <w:t xml:space="preserve">Year </w:t>
              <w:br/>
              <w:t xml:space="preserve">Ended </w:t>
              <w:br/>
              <w:t xml:space="preserve">December 31, </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w:t>
              <w:br/>
              <w:t xml:space="preserve">Year </w:t>
              <w:br/>
              <w:t xml:space="preserve">Ended </w:t>
              <w:br/>
              <w:t xml:space="preserve">December 31, </w:t>
              <w:br/>
              <w:t>2023</w:t>
            </w:r>
          </w:p>
        </w:tc>
        <w:tc>
          <w:tcPr>
            <w:tcW w:w="92" w:type="dxa"/>
            <w:tcBorders/>
            <w:vAlign w:val="center"/>
          </w:tcPr>
          <w:p>
            <w:pPr>
              <w:pStyle w:val="TableContents"/>
              <w:bidi w:val="0"/>
              <w:spacing w:before="0" w:after="283"/>
              <w:jc w:val="left"/>
              <w:rPr/>
            </w:pPr>
            <w:r>
              <w:rPr/>
              <w:t> </w:t>
            </w:r>
          </w:p>
        </w:tc>
      </w:tr>
      <w:tr>
        <w:trPr/>
        <w:tc>
          <w:tcPr>
            <w:tcW w:w="56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7"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2" w:type="dxa"/>
            <w:tcBorders/>
            <w:vAlign w:val="center"/>
          </w:tcPr>
          <w:p>
            <w:pPr>
              <w:pStyle w:val="TableContents"/>
              <w:bidi w:val="0"/>
              <w:spacing w:before="0" w:after="283"/>
              <w:jc w:val="left"/>
              <w:rPr/>
            </w:pPr>
            <w:r>
              <w:rPr/>
              <w:t> </w:t>
            </w:r>
          </w:p>
        </w:tc>
      </w:tr>
      <w:tr>
        <w:trPr/>
        <w:tc>
          <w:tcPr>
            <w:tcW w:w="5674" w:type="dxa"/>
            <w:tcBorders/>
            <w:vAlign w:val="center"/>
          </w:tcPr>
          <w:p>
            <w:pPr>
              <w:pStyle w:val="TableContents"/>
              <w:bidi w:val="0"/>
              <w:spacing w:before="0" w:after="283"/>
              <w:jc w:val="left"/>
              <w:rPr>
                <w:b/>
              </w:rPr>
            </w:pPr>
            <w:r>
              <w:rPr>
                <w:b/>
              </w:rPr>
              <w:t>Revenues:</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7"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7" w:type="dxa"/>
            <w:gridSpan w:val="2"/>
            <w:tcBorders/>
            <w:vAlign w:val="center"/>
          </w:tcPr>
          <w:p>
            <w:pPr>
              <w:pStyle w:val="TableContents"/>
              <w:bidi w:val="0"/>
              <w:spacing w:before="0" w:after="283"/>
              <w:jc w:val="right"/>
              <w:rPr/>
            </w:pPr>
            <w:r>
              <w:rPr/>
              <w:t> </w:t>
            </w:r>
          </w:p>
        </w:tc>
        <w:tc>
          <w:tcPr>
            <w:tcW w:w="92" w:type="dxa"/>
            <w:tcBorders/>
            <w:vAlign w:val="center"/>
          </w:tcPr>
          <w:p>
            <w:pPr>
              <w:pStyle w:val="TableContents"/>
              <w:bidi w:val="0"/>
              <w:spacing w:before="0" w:after="283"/>
              <w:ind w:left="0" w:right="0" w:hanging="200"/>
              <w:jc w:val="left"/>
              <w:rPr/>
            </w:pPr>
            <w:r>
              <w:rPr/>
              <w:t> </w:t>
            </w:r>
          </w:p>
        </w:tc>
      </w:tr>
      <w:tr>
        <w:trPr/>
        <w:tc>
          <w:tcPr>
            <w:tcW w:w="5674" w:type="dxa"/>
            <w:tcBorders/>
            <w:shd w:fill="CCEEFF" w:val="clear"/>
            <w:vAlign w:val="center"/>
          </w:tcPr>
          <w:p>
            <w:pPr>
              <w:pStyle w:val="TableContents"/>
              <w:bidi w:val="0"/>
              <w:spacing w:before="0" w:after="283"/>
              <w:jc w:val="left"/>
              <w:rPr/>
            </w:pPr>
            <w:r>
              <w:rPr/>
              <w:t>Mining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42,940,318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45,030,201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13,000,074</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5674" w:type="dxa"/>
            <w:tcBorders/>
            <w:shd w:fill="FFFFFF" w:val="clear"/>
            <w:vAlign w:val="center"/>
          </w:tcPr>
          <w:p>
            <w:pPr>
              <w:pStyle w:val="TableContents"/>
              <w:bidi w:val="0"/>
              <w:spacing w:before="0" w:after="283"/>
              <w:jc w:val="left"/>
              <w:rPr/>
            </w:pPr>
            <w:r>
              <w:rPr/>
              <w:t>Sales of mining machines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15,254,872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192,162,144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219,782,989</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5674" w:type="dxa"/>
            <w:tcBorders/>
            <w:shd w:fill="CCEEFF" w:val="clear"/>
            <w:vAlign w:val="center"/>
          </w:tcPr>
          <w:p>
            <w:pPr>
              <w:pStyle w:val="TableContents"/>
              <w:bidi w:val="0"/>
              <w:spacing w:before="0" w:after="283"/>
              <w:jc w:val="left"/>
              <w:rPr/>
            </w:pPr>
            <w:r>
              <w:rPr/>
              <w:t>Hosting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3,339,426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6,247,292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482,186</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5674" w:type="dxa"/>
            <w:tcBorders/>
            <w:shd w:fill="FFFFFF" w:val="clear"/>
            <w:vAlign w:val="center"/>
          </w:tcPr>
          <w:p>
            <w:pPr>
              <w:pStyle w:val="TableContents"/>
              <w:bidi w:val="0"/>
              <w:spacing w:before="0" w:after="283"/>
              <w:jc w:val="left"/>
              <w:rPr/>
            </w:pPr>
            <w:r>
              <w:rPr/>
              <w:t>Mining pool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5,861,287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FFFFFF" w:val="clear"/>
            <w:tcMar>
              <w:bottom w:w="28" w:type="dxa"/>
            </w:tcMar>
            <w:vAlign w:val="center"/>
          </w:tcPr>
          <w:p>
            <w:pPr>
              <w:pStyle w:val="TableContents"/>
              <w:bidi w:val="0"/>
              <w:spacing w:before="0" w:after="283"/>
              <w:jc w:val="right"/>
              <w:rPr/>
            </w:pPr>
            <w:r>
              <w:rPr/>
              <w:t>58,837,944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FFFFFF" w:val="clear"/>
            <w:tcMar>
              <w:bottom w:w="28" w:type="dxa"/>
            </w:tcMar>
            <w:vAlign w:val="center"/>
          </w:tcPr>
          <w:p>
            <w:pPr>
              <w:pStyle w:val="TableContents"/>
              <w:bidi w:val="0"/>
              <w:spacing w:before="0" w:after="283"/>
              <w:jc w:val="right"/>
              <w:rPr/>
            </w:pPr>
            <w:r>
              <w:rPr/>
              <w:t>24,003,122</w:t>
            </w:r>
          </w:p>
        </w:tc>
        <w:tc>
          <w:tcPr>
            <w:tcW w:w="92" w:type="dxa"/>
            <w:tcBorders/>
            <w:shd w:fill="FFFFFF" w:val="clear"/>
            <w:vAlign w:val="center"/>
          </w:tcPr>
          <w:p>
            <w:pPr>
              <w:pStyle w:val="TableContents"/>
              <w:bidi w:val="0"/>
              <w:spacing w:before="0" w:after="283"/>
              <w:jc w:val="left"/>
              <w:rPr/>
            </w:pPr>
            <w:r>
              <w:rPr/>
              <w:t> </w:t>
            </w:r>
          </w:p>
        </w:tc>
      </w:tr>
      <w:tr>
        <w:trPr/>
        <w:tc>
          <w:tcPr>
            <w:tcW w:w="5674" w:type="dxa"/>
            <w:tcBorders/>
            <w:shd w:fill="CCEEFF" w:val="clear"/>
            <w:vAlign w:val="center"/>
          </w:tcPr>
          <w:p>
            <w:pPr>
              <w:pStyle w:val="TableContents"/>
              <w:bidi w:val="0"/>
              <w:spacing w:before="0" w:after="283"/>
              <w:jc w:val="left"/>
              <w:rPr/>
            </w:pPr>
            <w:r>
              <w:rPr/>
              <w:t>Total Revenue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b/>
              </w:rPr>
            </w:pPr>
            <w:r>
              <w:rPr>
                <w:b/>
              </w:rPr>
              <w:t>67,395,903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CCEEFF" w:val="clear"/>
            <w:tcMar>
              <w:bottom w:w="28" w:type="dxa"/>
            </w:tcMar>
            <w:vAlign w:val="center"/>
          </w:tcPr>
          <w:p>
            <w:pPr>
              <w:pStyle w:val="TableContents"/>
              <w:bidi w:val="0"/>
              <w:spacing w:before="0" w:after="283"/>
              <w:jc w:val="right"/>
              <w:rPr/>
            </w:pPr>
            <w:r>
              <w:rPr/>
              <w:t>302,277,581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CCEEFF" w:val="clear"/>
            <w:tcMar>
              <w:bottom w:w="28" w:type="dxa"/>
            </w:tcMar>
            <w:vAlign w:val="center"/>
          </w:tcPr>
          <w:p>
            <w:pPr>
              <w:pStyle w:val="TableContents"/>
              <w:bidi w:val="0"/>
              <w:spacing w:before="0" w:after="283"/>
              <w:jc w:val="right"/>
              <w:rPr/>
            </w:pPr>
            <w:r>
              <w:rPr/>
              <w:t>257,268,371</w:t>
            </w:r>
          </w:p>
        </w:tc>
        <w:tc>
          <w:tcPr>
            <w:tcW w:w="92" w:type="dxa"/>
            <w:tcBorders/>
            <w:shd w:fill="CCEEFF" w:val="clear"/>
            <w:vAlign w:val="center"/>
          </w:tcPr>
          <w:p>
            <w:pPr>
              <w:pStyle w:val="TableContents"/>
              <w:bidi w:val="0"/>
              <w:spacing w:before="0" w:after="283"/>
              <w:jc w:val="left"/>
              <w:rPr/>
            </w:pPr>
            <w:r>
              <w:rPr/>
              <w:t> </w:t>
            </w:r>
          </w:p>
        </w:tc>
      </w:tr>
      <w:tr>
        <w:trPr/>
        <w:tc>
          <w:tcPr>
            <w:tcW w:w="5674" w:type="dxa"/>
            <w:tcBorders/>
            <w:shd w:fill="FFFFFF" w:val="clear"/>
            <w:vAlign w:val="center"/>
          </w:tcPr>
          <w:p>
            <w:pPr>
              <w:pStyle w:val="TableContents"/>
              <w:bidi w:val="0"/>
              <w:spacing w:before="0" w:after="283"/>
              <w:jc w:val="left"/>
              <w:rPr>
                <w:b/>
              </w:rPr>
            </w:pPr>
            <w:r>
              <w:rPr>
                <w:b/>
              </w:rPr>
              <w:t>Costs of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5674" w:type="dxa"/>
            <w:tcBorders/>
            <w:shd w:fill="CCEEFF" w:val="clear"/>
            <w:vAlign w:val="center"/>
          </w:tcPr>
          <w:p>
            <w:pPr>
              <w:pStyle w:val="TableContents"/>
              <w:bidi w:val="0"/>
              <w:spacing w:before="0" w:after="283"/>
              <w:jc w:val="left"/>
              <w:rPr/>
            </w:pPr>
            <w:r>
              <w:rPr/>
              <w:t>Costs of mining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63,333,746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29,711,122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8,451,706</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5674" w:type="dxa"/>
            <w:tcBorders/>
            <w:shd w:fill="FFFFFF" w:val="clear"/>
            <w:vAlign w:val="center"/>
          </w:tcPr>
          <w:p>
            <w:pPr>
              <w:pStyle w:val="TableContents"/>
              <w:bidi w:val="0"/>
              <w:spacing w:before="0" w:after="283"/>
              <w:jc w:val="left"/>
              <w:rPr/>
            </w:pPr>
            <w:r>
              <w:rPr/>
              <w:t>Costs of sales of mining machines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71,207,327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81,713,511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25,389,335</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5674" w:type="dxa"/>
            <w:tcBorders/>
            <w:shd w:fill="CCEEFF" w:val="clear"/>
            <w:vAlign w:val="center"/>
          </w:tcPr>
          <w:p>
            <w:pPr>
              <w:pStyle w:val="TableContents"/>
              <w:bidi w:val="0"/>
              <w:spacing w:before="0" w:after="283"/>
              <w:jc w:val="left"/>
              <w:rPr/>
            </w:pPr>
            <w:r>
              <w:rPr/>
              <w:t>Costs of hosting revenue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2,643,980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4,897,740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488,837</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5674" w:type="dxa"/>
            <w:tcBorders/>
            <w:shd w:fill="FFFFFF" w:val="clear"/>
            <w:vAlign w:val="center"/>
          </w:tcPr>
          <w:p>
            <w:pPr>
              <w:pStyle w:val="TableContents"/>
              <w:bidi w:val="0"/>
              <w:spacing w:before="0" w:after="283"/>
              <w:jc w:val="left"/>
              <w:rPr/>
            </w:pPr>
            <w:r>
              <w:rPr/>
              <w:t>Costs of mining pool revenue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5,803,256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FFFFFF" w:val="clear"/>
            <w:tcMar>
              <w:bottom w:w="28" w:type="dxa"/>
            </w:tcMar>
            <w:vAlign w:val="center"/>
          </w:tcPr>
          <w:p>
            <w:pPr>
              <w:pStyle w:val="TableContents"/>
              <w:bidi w:val="0"/>
              <w:spacing w:before="0" w:after="283"/>
              <w:jc w:val="right"/>
              <w:rPr/>
            </w:pPr>
            <w:r>
              <w:rPr/>
              <w:t>58,269,298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FFFFFF" w:val="clear"/>
            <w:tcMar>
              <w:bottom w:w="28" w:type="dxa"/>
            </w:tcMar>
            <w:vAlign w:val="center"/>
          </w:tcPr>
          <w:p>
            <w:pPr>
              <w:pStyle w:val="TableContents"/>
              <w:bidi w:val="0"/>
              <w:spacing w:before="0" w:after="283"/>
              <w:jc w:val="right"/>
              <w:rPr/>
            </w:pPr>
            <w:r>
              <w:rPr/>
              <w:t>23,765,150</w:t>
            </w:r>
          </w:p>
        </w:tc>
        <w:tc>
          <w:tcPr>
            <w:tcW w:w="92" w:type="dxa"/>
            <w:tcBorders/>
            <w:shd w:fill="FFFFFF" w:val="clear"/>
            <w:vAlign w:val="center"/>
          </w:tcPr>
          <w:p>
            <w:pPr>
              <w:pStyle w:val="TableContents"/>
              <w:bidi w:val="0"/>
              <w:spacing w:before="0" w:after="283"/>
              <w:jc w:val="left"/>
              <w:rPr/>
            </w:pPr>
            <w:r>
              <w:rPr/>
              <w:t> </w:t>
            </w:r>
          </w:p>
        </w:tc>
      </w:tr>
      <w:tr>
        <w:trPr/>
        <w:tc>
          <w:tcPr>
            <w:tcW w:w="5674" w:type="dxa"/>
            <w:tcBorders/>
            <w:shd w:fill="CCEEFF" w:val="clear"/>
            <w:vAlign w:val="center"/>
          </w:tcPr>
          <w:p>
            <w:pPr>
              <w:pStyle w:val="TableContents"/>
              <w:bidi w:val="0"/>
              <w:spacing w:before="0" w:after="283"/>
              <w:jc w:val="left"/>
              <w:rPr/>
            </w:pPr>
            <w:r>
              <w:rPr/>
              <w:t>Total costs of 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142,988,309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CCEEFF" w:val="clear"/>
            <w:tcMar>
              <w:bottom w:w="28" w:type="dxa"/>
            </w:tcMar>
            <w:vAlign w:val="center"/>
          </w:tcPr>
          <w:p>
            <w:pPr>
              <w:pStyle w:val="TableContents"/>
              <w:bidi w:val="0"/>
              <w:spacing w:before="0" w:after="283"/>
              <w:jc w:val="right"/>
              <w:rPr/>
            </w:pPr>
            <w:r>
              <w:rPr/>
              <w:t>174,591,671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CCEEFF" w:val="clear"/>
            <w:tcMar>
              <w:bottom w:w="28" w:type="dxa"/>
            </w:tcMar>
            <w:vAlign w:val="center"/>
          </w:tcPr>
          <w:p>
            <w:pPr>
              <w:pStyle w:val="TableContents"/>
              <w:bidi w:val="0"/>
              <w:spacing w:before="0" w:after="283"/>
              <w:jc w:val="right"/>
              <w:rPr/>
            </w:pPr>
            <w:r>
              <w:rPr/>
              <w:t>58,095,028</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5674" w:type="dxa"/>
            <w:tcBorders/>
            <w:shd w:fill="FFFFFF" w:val="clear"/>
            <w:vAlign w:val="center"/>
          </w:tcPr>
          <w:p>
            <w:pPr>
              <w:pStyle w:val="TableContents"/>
              <w:bidi w:val="0"/>
              <w:spacing w:before="0" w:after="283"/>
              <w:jc w:val="left"/>
              <w:rPr>
                <w:b/>
              </w:rPr>
            </w:pPr>
            <w:r>
              <w:rPr>
                <w:b/>
              </w:rPr>
              <w:t>Gross (loss) profit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(75,592,406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127,685,910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199,173,343</w:t>
            </w:r>
          </w:p>
        </w:tc>
        <w:tc>
          <w:tcPr>
            <w:tcW w:w="92" w:type="dxa"/>
            <w:tcBorders/>
            <w:shd w:fill="FFFFFF" w:val="clear"/>
            <w:vAlign w:val="center"/>
          </w:tcPr>
          <w:p>
            <w:pPr>
              <w:pStyle w:val="TableContents"/>
              <w:bidi w:val="0"/>
              <w:spacing w:before="0" w:after="283"/>
              <w:jc w:val="left"/>
              <w:rPr/>
            </w:pPr>
            <w:r>
              <w:rPr/>
              <w:t> </w:t>
            </w:r>
          </w:p>
        </w:tc>
      </w:tr>
      <w:tr>
        <w:trPr/>
        <w:tc>
          <w:tcPr>
            <w:tcW w:w="56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5674" w:type="dxa"/>
            <w:tcBorders/>
            <w:shd w:fill="FFFFFF" w:val="clear"/>
            <w:vAlign w:val="center"/>
          </w:tcPr>
          <w:p>
            <w:pPr>
              <w:pStyle w:val="TableContents"/>
              <w:bidi w:val="0"/>
              <w:spacing w:before="0" w:after="283"/>
              <w:jc w:val="left"/>
              <w:rPr>
                <w:b/>
              </w:rPr>
            </w:pPr>
            <w:r>
              <w:rPr>
                <w:b/>
              </w:rPr>
              <w:t>Operating costs and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5674" w:type="dxa"/>
            <w:tcBorders/>
            <w:shd w:fill="CCEEFF" w:val="clear"/>
            <w:vAlign w:val="center"/>
          </w:tcPr>
          <w:p>
            <w:pPr>
              <w:pStyle w:val="TableContents"/>
              <w:bidi w:val="0"/>
              <w:spacing w:before="0" w:after="283"/>
              <w:jc w:val="left"/>
              <w:rPr/>
            </w:pPr>
            <w:r>
              <w:rPr/>
              <w:t>Selling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393,458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702,916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1,148,308</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5674" w:type="dxa"/>
            <w:tcBorders/>
            <w:shd w:fill="FFFFFF" w:val="clear"/>
            <w:vAlign w:val="center"/>
          </w:tcPr>
          <w:p>
            <w:pPr>
              <w:pStyle w:val="TableContents"/>
              <w:bidi w:val="0"/>
              <w:spacing w:before="0" w:after="283"/>
              <w:jc w:val="left"/>
              <w:rPr/>
            </w:pPr>
            <w:r>
              <w:rPr/>
              <w:t>General and administrative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13,868,940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7,157,554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14,570,383</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5674"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20,191,147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16,374,310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10,099,575</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5674" w:type="dxa"/>
            <w:tcBorders/>
            <w:shd w:fill="FFFFFF" w:val="clear"/>
            <w:vAlign w:val="center"/>
          </w:tcPr>
          <w:p>
            <w:pPr>
              <w:pStyle w:val="TableContents"/>
              <w:bidi w:val="0"/>
              <w:spacing w:before="0" w:after="283"/>
              <w:jc w:val="left"/>
              <w:rPr/>
            </w:pPr>
            <w:r>
              <w:rPr/>
              <w:t>Realized loss on future contracts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560,492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726,746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5674" w:type="dxa"/>
            <w:tcBorders/>
            <w:shd w:fill="CCEEFF" w:val="clear"/>
            <w:vAlign w:val="center"/>
          </w:tcPr>
          <w:p>
            <w:pPr>
              <w:pStyle w:val="TableContents"/>
              <w:bidi w:val="0"/>
              <w:spacing w:before="0" w:after="283"/>
              <w:jc w:val="left"/>
              <w:rPr/>
            </w:pPr>
            <w:r>
              <w:rPr/>
              <w:t>Rewards earned from crypto short-term investments (right to receive cryptocurrencies)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(438,266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(3,653,722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5674" w:type="dxa"/>
            <w:tcBorders/>
            <w:shd w:fill="FFFFFF" w:val="clear"/>
            <w:vAlign w:val="center"/>
          </w:tcPr>
          <w:p>
            <w:pPr>
              <w:pStyle w:val="TableContents"/>
              <w:bidi w:val="0"/>
              <w:spacing w:before="0" w:after="283"/>
              <w:jc w:val="left"/>
              <w:rPr/>
            </w:pPr>
            <w:r>
              <w:rPr/>
              <w:t>Change in fair value of cryptocurrencies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23,355,675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8,446,437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(312,722</w:t>
            </w:r>
          </w:p>
        </w:tc>
        <w:tc>
          <w:tcPr>
            <w:tcW w:w="92" w:type="dxa"/>
            <w:tcBorders/>
            <w:shd w:fill="FFFFFF" w:val="clear"/>
            <w:vAlign w:val="center"/>
          </w:tcPr>
          <w:p>
            <w:pPr>
              <w:pStyle w:val="TableContents"/>
              <w:bidi w:val="0"/>
              <w:spacing w:before="0" w:after="283"/>
              <w:ind w:left="0" w:right="0" w:hanging="200"/>
              <w:jc w:val="left"/>
              <w:rPr/>
            </w:pPr>
            <w:r>
              <w:rPr/>
              <w:t>)</w:t>
            </w:r>
          </w:p>
        </w:tc>
      </w:tr>
      <w:tr>
        <w:trPr/>
        <w:tc>
          <w:tcPr>
            <w:tcW w:w="5674" w:type="dxa"/>
            <w:tcBorders/>
            <w:shd w:fill="CCEEFF" w:val="clear"/>
            <w:vAlign w:val="center"/>
          </w:tcPr>
          <w:p>
            <w:pPr>
              <w:pStyle w:val="TableContents"/>
              <w:bidi w:val="0"/>
              <w:spacing w:before="0" w:after="283"/>
              <w:jc w:val="left"/>
              <w:rPr/>
            </w:pPr>
            <w:r>
              <w:rPr/>
              <w:t>Impairment of property and equipment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42,570,833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CCEEFF" w:val="clear"/>
            <w:tcMar>
              <w:bottom w:w="28" w:type="dxa"/>
            </w:tcMar>
            <w:vAlign w:val="center"/>
          </w:tcPr>
          <w:p>
            <w:pPr>
              <w:pStyle w:val="TableContents"/>
              <w:bidi w:val="0"/>
              <w:spacing w:before="0" w:after="283"/>
              <w:jc w:val="right"/>
              <w:rPr/>
            </w:pPr>
            <w:r>
              <w:rPr/>
              <w:t>16,297,933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5674" w:type="dxa"/>
            <w:tcBorders/>
            <w:shd w:fill="FFFFFF" w:val="clear"/>
            <w:vAlign w:val="center"/>
          </w:tcPr>
          <w:p>
            <w:pPr>
              <w:pStyle w:val="TableContents"/>
              <w:bidi w:val="0"/>
              <w:spacing w:before="0" w:after="283"/>
              <w:jc w:val="left"/>
              <w:rPr>
                <w:b/>
              </w:rPr>
            </w:pPr>
            <w:r>
              <w:rPr>
                <w:b/>
              </w:rPr>
              <w:t>Total operating costs and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100,502,279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FFFFFF" w:val="clear"/>
            <w:tcMar>
              <w:bottom w:w="28" w:type="dxa"/>
            </w:tcMar>
            <w:vAlign w:val="center"/>
          </w:tcPr>
          <w:p>
            <w:pPr>
              <w:pStyle w:val="TableContents"/>
              <w:bidi w:val="0"/>
              <w:spacing w:before="0" w:after="283"/>
              <w:jc w:val="right"/>
              <w:rPr/>
            </w:pPr>
            <w:r>
              <w:rPr/>
              <w:t>46,052,174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FFFFFF" w:val="clear"/>
            <w:tcMar>
              <w:bottom w:w="28" w:type="dxa"/>
            </w:tcMar>
            <w:vAlign w:val="center"/>
          </w:tcPr>
          <w:p>
            <w:pPr>
              <w:pStyle w:val="TableContents"/>
              <w:bidi w:val="0"/>
              <w:spacing w:before="0" w:after="283"/>
              <w:jc w:val="right"/>
              <w:rPr/>
            </w:pPr>
            <w:r>
              <w:rPr/>
              <w:t>25,505,544</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5674" w:type="dxa"/>
            <w:tcBorders/>
            <w:shd w:fill="CCEEFF" w:val="clear"/>
            <w:vAlign w:val="center"/>
          </w:tcPr>
          <w:p>
            <w:pPr>
              <w:pStyle w:val="TableContents"/>
              <w:bidi w:val="0"/>
              <w:spacing w:before="0" w:after="283"/>
              <w:jc w:val="left"/>
              <w:rPr>
                <w:b/>
              </w:rPr>
            </w:pPr>
            <w:r>
              <w:rPr>
                <w:b/>
              </w:rPr>
              <w:t>(Loss) income from operations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(176,094,685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81,633,736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173,667,799</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56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5674" w:type="dxa"/>
            <w:tcBorders/>
            <w:shd w:fill="CCEEFF" w:val="clear"/>
            <w:vAlign w:val="center"/>
          </w:tcPr>
          <w:p>
            <w:pPr>
              <w:pStyle w:val="TableContents"/>
              <w:bidi w:val="0"/>
              <w:spacing w:before="0" w:after="283"/>
              <w:jc w:val="left"/>
              <w:rPr>
                <w:b/>
              </w:rPr>
            </w:pPr>
            <w:r>
              <w:rPr>
                <w:b/>
              </w:rPr>
              <w:t>Other (income)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5674" w:type="dxa"/>
            <w:tcBorders/>
            <w:shd w:fill="FFFFFF" w:val="clear"/>
            <w:vAlign w:val="center"/>
          </w:tcPr>
          <w:p>
            <w:pPr>
              <w:pStyle w:val="TableContents"/>
              <w:bidi w:val="0"/>
              <w:spacing w:before="0" w:after="283"/>
              <w:jc w:val="left"/>
              <w:rPr/>
            </w:pPr>
            <w:r>
              <w:rPr/>
              <w:t>Foreign exchange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189,490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509,319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131,366</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5674" w:type="dxa"/>
            <w:tcBorders/>
            <w:shd w:fill="CCEEFF" w:val="clear"/>
            <w:vAlign w:val="center"/>
          </w:tcPr>
          <w:p>
            <w:pPr>
              <w:pStyle w:val="TableContents"/>
              <w:bidi w:val="0"/>
              <w:spacing w:before="0" w:after="283"/>
              <w:jc w:val="left"/>
              <w:rPr/>
            </w:pPr>
            <w:r>
              <w:rPr/>
              <w:t>Interest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(942,892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(1,174,582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(63,112</w:t>
            </w:r>
          </w:p>
        </w:tc>
        <w:tc>
          <w:tcPr>
            <w:tcW w:w="92" w:type="dxa"/>
            <w:tcBorders/>
            <w:shd w:fill="CCEEFF" w:val="clear"/>
            <w:vAlign w:val="center"/>
          </w:tcPr>
          <w:p>
            <w:pPr>
              <w:pStyle w:val="TableContents"/>
              <w:bidi w:val="0"/>
              <w:spacing w:before="0" w:after="283"/>
              <w:ind w:left="0" w:right="0" w:hanging="200"/>
              <w:jc w:val="left"/>
              <w:rPr/>
            </w:pPr>
            <w:r>
              <w:rPr/>
              <w:t>)</w:t>
            </w:r>
          </w:p>
        </w:tc>
      </w:tr>
      <w:tr>
        <w:trPr/>
        <w:tc>
          <w:tcPr>
            <w:tcW w:w="5674" w:type="dxa"/>
            <w:tcBorders/>
            <w:shd w:fill="FFFFFF" w:val="clear"/>
            <w:vAlign w:val="center"/>
          </w:tcPr>
          <w:p>
            <w:pPr>
              <w:pStyle w:val="TableContents"/>
              <w:bidi w:val="0"/>
              <w:spacing w:before="0" w:after="283"/>
              <w:jc w:val="left"/>
              <w:rPr/>
            </w:pPr>
            <w:r>
              <w:rPr/>
              <w:t>Other (income) expenses,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(729,507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FFFFFF" w:val="clear"/>
            <w:tcMar>
              <w:bottom w:w="28" w:type="dxa"/>
            </w:tcMar>
            <w:vAlign w:val="center"/>
          </w:tcPr>
          <w:p>
            <w:pPr>
              <w:pStyle w:val="TableContents"/>
              <w:bidi w:val="0"/>
              <w:spacing w:before="0" w:after="283"/>
              <w:jc w:val="right"/>
              <w:rPr/>
            </w:pPr>
            <w:r>
              <w:rPr/>
              <w:t>1,512,933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FFFFFF" w:val="clear"/>
            <w:tcMar>
              <w:bottom w:w="28" w:type="dxa"/>
            </w:tcMar>
            <w:vAlign w:val="center"/>
          </w:tcPr>
          <w:p>
            <w:pPr>
              <w:pStyle w:val="TableContents"/>
              <w:bidi w:val="0"/>
              <w:spacing w:before="0" w:after="283"/>
              <w:jc w:val="right"/>
              <w:rPr/>
            </w:pPr>
            <w:r>
              <w:rPr/>
              <w:t>26,073</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5674" w:type="dxa"/>
            <w:tcBorders/>
            <w:shd w:fill="CCEEFF" w:val="clear"/>
            <w:vAlign w:val="center"/>
          </w:tcPr>
          <w:p>
            <w:pPr>
              <w:pStyle w:val="TableContents"/>
              <w:bidi w:val="0"/>
              <w:spacing w:before="0" w:after="283"/>
              <w:jc w:val="left"/>
              <w:rPr>
                <w:b/>
              </w:rPr>
            </w:pPr>
            <w:r>
              <w:rPr>
                <w:b/>
              </w:rPr>
              <w:t>Total other (income)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(1,482,909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CCEEFF" w:val="clear"/>
            <w:tcMar>
              <w:bottom w:w="28" w:type="dxa"/>
            </w:tcMar>
            <w:vAlign w:val="center"/>
          </w:tcPr>
          <w:p>
            <w:pPr>
              <w:pStyle w:val="TableContents"/>
              <w:bidi w:val="0"/>
              <w:spacing w:before="0" w:after="283"/>
              <w:jc w:val="right"/>
              <w:rPr/>
            </w:pPr>
            <w:r>
              <w:rPr/>
              <w:t>847,670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CCEEFF" w:val="clear"/>
            <w:tcMar>
              <w:bottom w:w="28" w:type="dxa"/>
            </w:tcMar>
            <w:vAlign w:val="center"/>
          </w:tcPr>
          <w:p>
            <w:pPr>
              <w:pStyle w:val="TableContents"/>
              <w:bidi w:val="0"/>
              <w:spacing w:before="0" w:after="283"/>
              <w:jc w:val="right"/>
              <w:rPr/>
            </w:pPr>
            <w:r>
              <w:rPr/>
              <w:t>94,327</w:t>
            </w:r>
          </w:p>
        </w:tc>
        <w:tc>
          <w:tcPr>
            <w:tcW w:w="92" w:type="dxa"/>
            <w:tcBorders/>
            <w:shd w:fill="CCEEFF" w:val="clear"/>
            <w:vAlign w:val="center"/>
          </w:tcPr>
          <w:p>
            <w:pPr>
              <w:pStyle w:val="TableContents"/>
              <w:bidi w:val="0"/>
              <w:spacing w:before="0" w:after="283"/>
              <w:jc w:val="left"/>
              <w:rPr/>
            </w:pPr>
            <w:r>
              <w:rPr/>
              <w:t> </w:t>
            </w:r>
          </w:p>
        </w:tc>
      </w:tr>
      <w:tr>
        <w:trPr/>
        <w:tc>
          <w:tcPr>
            <w:tcW w:w="567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5674" w:type="dxa"/>
            <w:tcBorders/>
            <w:shd w:fill="CCEEFF" w:val="clear"/>
            <w:vAlign w:val="center"/>
          </w:tcPr>
          <w:p>
            <w:pPr>
              <w:pStyle w:val="TableContents"/>
              <w:bidi w:val="0"/>
              <w:spacing w:before="0" w:after="283"/>
              <w:jc w:val="left"/>
              <w:rPr>
                <w:b/>
              </w:rPr>
            </w:pPr>
            <w:r>
              <w:rPr>
                <w:b/>
              </w:rPr>
              <w:t>(Loss) income before provision for income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(174,611,776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80,786,066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173,573,472</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5674" w:type="dxa"/>
            <w:tcBorders/>
            <w:shd w:fill="FFFFFF" w:val="clear"/>
            <w:vAlign w:val="center"/>
          </w:tcPr>
          <w:p>
            <w:pPr>
              <w:pStyle w:val="TableContents"/>
              <w:bidi w:val="0"/>
              <w:spacing w:before="0" w:after="283"/>
              <w:jc w:val="left"/>
              <w:rPr/>
            </w:pPr>
            <w:r>
              <w:rPr/>
              <w:t>Current income tax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228,677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16,757,614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34,090,755</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5674" w:type="dxa"/>
            <w:tcBorders/>
            <w:shd w:fill="CCEEFF" w:val="clear"/>
            <w:vAlign w:val="center"/>
          </w:tcPr>
          <w:p>
            <w:pPr>
              <w:pStyle w:val="TableContents"/>
              <w:bidi w:val="0"/>
              <w:spacing w:before="0" w:after="283"/>
              <w:jc w:val="left"/>
              <w:rPr/>
            </w:pPr>
            <w:r>
              <w:rPr/>
              <w:t>Deferred income tax expense (recovery)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2,112,353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CCEEFF" w:val="clear"/>
            <w:tcMar>
              <w:bottom w:w="28" w:type="dxa"/>
            </w:tcMar>
            <w:vAlign w:val="center"/>
          </w:tcPr>
          <w:p>
            <w:pPr>
              <w:pStyle w:val="TableContents"/>
              <w:bidi w:val="0"/>
              <w:spacing w:before="0" w:after="283"/>
              <w:jc w:val="right"/>
              <w:rPr/>
            </w:pPr>
            <w:r>
              <w:rPr/>
              <w:t>(2,112,353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CCEEFF" w:val="clear"/>
            <w:tcMar>
              <w:bottom w:w="28" w:type="dxa"/>
            </w:tcMar>
            <w:vAlign w:val="center"/>
          </w:tcPr>
          <w:p>
            <w:pPr>
              <w:pStyle w:val="TableContents"/>
              <w:bidi w:val="0"/>
              <w:spacing w:before="0" w:after="283"/>
              <w:jc w:val="right"/>
              <w:rPr/>
            </w:pPr>
            <w:r>
              <w:rPr/>
              <w:t>(278,065</w:t>
            </w:r>
          </w:p>
        </w:tc>
        <w:tc>
          <w:tcPr>
            <w:tcW w:w="92" w:type="dxa"/>
            <w:tcBorders/>
            <w:shd w:fill="CCEEFF" w:val="clear"/>
            <w:vAlign w:val="center"/>
          </w:tcPr>
          <w:p>
            <w:pPr>
              <w:pStyle w:val="TableContents"/>
              <w:bidi w:val="0"/>
              <w:spacing w:before="0" w:after="283"/>
              <w:ind w:left="0" w:right="0" w:hanging="200"/>
              <w:jc w:val="left"/>
              <w:rPr/>
            </w:pPr>
            <w:r>
              <w:rPr/>
              <w:t>)</w:t>
            </w:r>
          </w:p>
        </w:tc>
      </w:tr>
      <w:tr>
        <w:trPr/>
        <w:tc>
          <w:tcPr>
            <w:tcW w:w="5674" w:type="dxa"/>
            <w:tcBorders/>
            <w:shd w:fill="FFFFFF" w:val="clear"/>
            <w:vAlign w:val="center"/>
          </w:tcPr>
          <w:p>
            <w:pPr>
              <w:pStyle w:val="TableContents"/>
              <w:bidi w:val="0"/>
              <w:spacing w:before="0" w:after="283"/>
              <w:jc w:val="left"/>
              <w:rPr>
                <w:b/>
              </w:rPr>
            </w:pPr>
            <w:r>
              <w:rPr>
                <w:b/>
              </w:rPr>
              <w:t>Income tax expense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2,341,030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FFFFFF" w:val="clear"/>
            <w:tcMar>
              <w:bottom w:w="28" w:type="dxa"/>
            </w:tcMar>
            <w:vAlign w:val="center"/>
          </w:tcPr>
          <w:p>
            <w:pPr>
              <w:pStyle w:val="TableContents"/>
              <w:bidi w:val="0"/>
              <w:spacing w:before="0" w:after="283"/>
              <w:jc w:val="right"/>
              <w:rPr/>
            </w:pPr>
            <w:r>
              <w:rPr/>
              <w:t>14,645,261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FFFFFF" w:val="clear"/>
            <w:tcMar>
              <w:bottom w:w="28" w:type="dxa"/>
            </w:tcMar>
            <w:vAlign w:val="center"/>
          </w:tcPr>
          <w:p>
            <w:pPr>
              <w:pStyle w:val="TableContents"/>
              <w:bidi w:val="0"/>
              <w:spacing w:before="0" w:after="283"/>
              <w:jc w:val="right"/>
              <w:rPr/>
            </w:pPr>
            <w:r>
              <w:rPr/>
              <w:t>33,812,690</w:t>
            </w:r>
          </w:p>
        </w:tc>
        <w:tc>
          <w:tcPr>
            <w:tcW w:w="92" w:type="dxa"/>
            <w:tcBorders/>
            <w:shd w:fill="FFFFFF" w:val="clear"/>
            <w:vAlign w:val="center"/>
          </w:tcPr>
          <w:p>
            <w:pPr>
              <w:pStyle w:val="TableContents"/>
              <w:bidi w:val="0"/>
              <w:spacing w:before="0" w:after="283"/>
              <w:jc w:val="left"/>
              <w:rPr/>
            </w:pPr>
            <w:r>
              <w:rPr/>
              <w:t> </w:t>
            </w:r>
          </w:p>
        </w:tc>
      </w:tr>
      <w:tr>
        <w:trPr/>
        <w:tc>
          <w:tcPr>
            <w:tcW w:w="56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5674" w:type="dxa"/>
            <w:tcBorders/>
            <w:shd w:fill="FFFFFF" w:val="clear"/>
            <w:vAlign w:val="center"/>
          </w:tcPr>
          <w:p>
            <w:pPr>
              <w:pStyle w:val="TableContents"/>
              <w:bidi w:val="0"/>
              <w:spacing w:before="0" w:after="283"/>
              <w:jc w:val="left"/>
              <w:rPr>
                <w:b/>
              </w:rPr>
            </w:pPr>
            <w:r>
              <w:rPr>
                <w:b/>
              </w:rPr>
              <w:t>Net (loss)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(176,952,806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66,140,805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139,760,782</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5674" w:type="dxa"/>
            <w:tcBorders/>
            <w:shd w:fill="CCEEFF" w:val="clear"/>
            <w:vAlign w:val="center"/>
          </w:tcPr>
          <w:p>
            <w:pPr>
              <w:pStyle w:val="TableContents"/>
              <w:bidi w:val="0"/>
              <w:spacing w:before="0" w:after="283"/>
              <w:jc w:val="left"/>
              <w:rPr/>
            </w:pPr>
            <w:r>
              <w:rPr/>
              <w:t>Net (loss) income attributable to non-controlling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(94,972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208,558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52,589</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5674" w:type="dxa"/>
            <w:tcBorders/>
            <w:shd w:fill="FFFFFF" w:val="clear"/>
            <w:vAlign w:val="center"/>
          </w:tcPr>
          <w:p>
            <w:pPr>
              <w:pStyle w:val="TableContents"/>
              <w:bidi w:val="0"/>
              <w:spacing w:before="0" w:after="283"/>
              <w:jc w:val="left"/>
              <w:rPr/>
            </w:pPr>
            <w:r>
              <w:rPr/>
              <w:t>Net (loss) income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FFFFFF" w:val="clear"/>
            <w:tcMar>
              <w:bottom w:w="28" w:type="dxa"/>
            </w:tcMar>
            <w:vAlign w:val="center"/>
          </w:tcPr>
          <w:p>
            <w:pPr>
              <w:pStyle w:val="TableContents"/>
              <w:bidi w:val="0"/>
              <w:spacing w:before="0" w:after="283"/>
              <w:jc w:val="right"/>
              <w:rPr/>
            </w:pPr>
            <w:r>
              <w:rPr/>
              <w:t>(176,857,834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FFFFFF" w:val="clear"/>
            <w:tcMar>
              <w:bottom w:w="28" w:type="dxa"/>
            </w:tcMar>
            <w:vAlign w:val="center"/>
          </w:tcPr>
          <w:p>
            <w:pPr>
              <w:pStyle w:val="TableContents"/>
              <w:bidi w:val="0"/>
              <w:spacing w:before="0" w:after="283"/>
              <w:jc w:val="right"/>
              <w:rPr/>
            </w:pPr>
            <w:r>
              <w:rPr/>
              <w:t>65,932,247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FFFFFF" w:val="clear"/>
            <w:tcMar>
              <w:bottom w:w="28" w:type="dxa"/>
            </w:tcMar>
            <w:vAlign w:val="center"/>
          </w:tcPr>
          <w:p>
            <w:pPr>
              <w:pStyle w:val="TableContents"/>
              <w:bidi w:val="0"/>
              <w:spacing w:before="0" w:after="283"/>
              <w:jc w:val="right"/>
              <w:rPr/>
            </w:pPr>
            <w:r>
              <w:rPr/>
              <w:t>139,708,193</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5674"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(176,952,806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66,140,805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139,760,782</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5674" w:type="dxa"/>
            <w:tcBorders/>
            <w:shd w:fill="FFFFFF" w:val="clear"/>
            <w:vAlign w:val="center"/>
          </w:tcPr>
          <w:p>
            <w:pPr>
              <w:pStyle w:val="TableContents"/>
              <w:bidi w:val="0"/>
              <w:spacing w:before="0" w:after="283"/>
              <w:jc w:val="left"/>
              <w:rPr/>
            </w:pPr>
            <w:r>
              <w:rPr/>
              <w:t>Foreign currency translation adjustment - gain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870</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5674" w:type="dxa"/>
            <w:tcBorders/>
            <w:shd w:fill="CCEEFF" w:val="clear"/>
            <w:vAlign w:val="center"/>
          </w:tcPr>
          <w:p>
            <w:pPr>
              <w:pStyle w:val="TableContents"/>
              <w:bidi w:val="0"/>
              <w:spacing w:before="0" w:after="283"/>
              <w:jc w:val="left"/>
              <w:rPr>
                <w:b/>
              </w:rPr>
            </w:pPr>
            <w:r>
              <w:rPr>
                <w:b/>
              </w:rPr>
              <w:t>Total comprehensive (loss)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CCEEFF" w:val="clear"/>
            <w:tcMar>
              <w:bottom w:w="28" w:type="dxa"/>
            </w:tcMar>
            <w:vAlign w:val="center"/>
          </w:tcPr>
          <w:p>
            <w:pPr>
              <w:pStyle w:val="TableContents"/>
              <w:bidi w:val="0"/>
              <w:spacing w:before="0" w:after="283"/>
              <w:jc w:val="right"/>
              <w:rPr/>
            </w:pPr>
            <w:r>
              <w:rPr/>
              <w:t>(176,952,806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double" w:sz="10" w:space="0" w:color="000000"/>
            </w:tcBorders>
            <w:shd w:fill="CCEEFF" w:val="clear"/>
            <w:tcMar>
              <w:bottom w:w="28" w:type="dxa"/>
            </w:tcMar>
            <w:vAlign w:val="center"/>
          </w:tcPr>
          <w:p>
            <w:pPr>
              <w:pStyle w:val="TableContents"/>
              <w:bidi w:val="0"/>
              <w:spacing w:before="0" w:after="283"/>
              <w:jc w:val="right"/>
              <w:rPr/>
            </w:pPr>
            <w:r>
              <w:rPr/>
              <w:t>66,140,805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double" w:sz="10" w:space="0" w:color="000000"/>
            </w:tcBorders>
            <w:shd w:fill="CCEEFF" w:val="clear"/>
            <w:tcMar>
              <w:bottom w:w="28" w:type="dxa"/>
            </w:tcMar>
            <w:vAlign w:val="center"/>
          </w:tcPr>
          <w:p>
            <w:pPr>
              <w:pStyle w:val="TableContents"/>
              <w:bidi w:val="0"/>
              <w:spacing w:before="0" w:after="283"/>
              <w:jc w:val="right"/>
              <w:rPr/>
            </w:pPr>
            <w:r>
              <w:rPr/>
              <w:t>139,761,652</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5674" w:type="dxa"/>
            <w:tcBorders/>
            <w:shd w:fill="FFFFFF" w:val="clear"/>
            <w:vAlign w:val="center"/>
          </w:tcPr>
          <w:p>
            <w:pPr>
              <w:pStyle w:val="TableContents"/>
              <w:bidi w:val="0"/>
              <w:spacing w:before="0" w:after="283"/>
              <w:jc w:val="left"/>
              <w:rPr/>
            </w:pPr>
            <w:r>
              <w:rPr/>
              <w:t>Comprehensive (loss) income attributable to non-controlling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(94,972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208,558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52,589</w:t>
            </w:r>
          </w:p>
        </w:tc>
        <w:tc>
          <w:tcPr>
            <w:tcW w:w="92" w:type="dxa"/>
            <w:tcBorders/>
            <w:shd w:fill="FFFFFF" w:val="clear"/>
            <w:vAlign w:val="center"/>
          </w:tcPr>
          <w:p>
            <w:pPr>
              <w:pStyle w:val="TableContents"/>
              <w:bidi w:val="0"/>
              <w:spacing w:before="0" w:after="283"/>
              <w:ind w:left="0" w:right="0" w:hanging="200"/>
              <w:jc w:val="left"/>
              <w:rPr/>
            </w:pPr>
            <w:r>
              <w:rPr/>
              <w:t> </w:t>
            </w:r>
          </w:p>
        </w:tc>
      </w:tr>
      <w:tr>
        <w:trPr/>
        <w:tc>
          <w:tcPr>
            <w:tcW w:w="5674" w:type="dxa"/>
            <w:tcBorders/>
            <w:shd w:fill="CCEEFF" w:val="clear"/>
            <w:vAlign w:val="center"/>
          </w:tcPr>
          <w:p>
            <w:pPr>
              <w:pStyle w:val="TableContents"/>
              <w:bidi w:val="0"/>
              <w:spacing w:before="0" w:after="283"/>
              <w:jc w:val="left"/>
              <w:rPr/>
            </w:pPr>
            <w:r>
              <w:rPr/>
              <w:t>Comprehensive (loss) income attributable to ordinary shareholders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12" w:space="0" w:color="000000"/>
            </w:tcBorders>
            <w:shd w:fill="CCEEFF" w:val="clear"/>
            <w:tcMar>
              <w:bottom w:w="28" w:type="dxa"/>
            </w:tcMar>
            <w:vAlign w:val="center"/>
          </w:tcPr>
          <w:p>
            <w:pPr>
              <w:pStyle w:val="TableContents"/>
              <w:bidi w:val="0"/>
              <w:spacing w:before="0" w:after="283"/>
              <w:jc w:val="right"/>
              <w:rPr/>
            </w:pPr>
            <w:r>
              <w:rPr/>
              <w:t>(176,857,834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CCEEFF" w:val="clear"/>
            <w:tcMar>
              <w:bottom w:w="28" w:type="dxa"/>
            </w:tcMar>
            <w:vAlign w:val="center"/>
          </w:tcPr>
          <w:p>
            <w:pPr>
              <w:pStyle w:val="TableContents"/>
              <w:bidi w:val="0"/>
              <w:spacing w:before="0" w:after="283"/>
              <w:jc w:val="right"/>
              <w:rPr/>
            </w:pPr>
            <w:r>
              <w:rPr/>
              <w:t>65,932,247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12" w:space="0" w:color="000000"/>
            </w:tcBorders>
            <w:shd w:fill="CCEEFF" w:val="clear"/>
            <w:tcMar>
              <w:bottom w:w="28" w:type="dxa"/>
            </w:tcMar>
            <w:vAlign w:val="center"/>
          </w:tcPr>
          <w:p>
            <w:pPr>
              <w:pStyle w:val="TableContents"/>
              <w:bidi w:val="0"/>
              <w:spacing w:before="0" w:after="283"/>
              <w:jc w:val="right"/>
              <w:rPr/>
            </w:pPr>
            <w:r>
              <w:rPr/>
              <w:t>139,709,063</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5674" w:type="dxa"/>
            <w:tcBorders/>
            <w:shd w:fill="FFFFFF" w:val="clear"/>
            <w:vAlign w:val="center"/>
          </w:tcPr>
          <w:p>
            <w:pPr>
              <w:pStyle w:val="TableContents"/>
              <w:bidi w:val="0"/>
              <w:spacing w:before="0" w:after="283"/>
              <w:jc w:val="left"/>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(176,952,806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double" w:sz="10" w:space="0" w:color="000000"/>
            </w:tcBorders>
            <w:shd w:fill="FFFFFF" w:val="clear"/>
            <w:tcMar>
              <w:bottom w:w="28" w:type="dxa"/>
            </w:tcMar>
            <w:vAlign w:val="center"/>
          </w:tcPr>
          <w:p>
            <w:pPr>
              <w:pStyle w:val="TableContents"/>
              <w:bidi w:val="0"/>
              <w:spacing w:before="0" w:after="283"/>
              <w:jc w:val="right"/>
              <w:rPr/>
            </w:pPr>
            <w:r>
              <w:rPr/>
              <w:t>66,140,805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double" w:sz="10" w:space="0" w:color="000000"/>
            </w:tcBorders>
            <w:shd w:fill="FFFFFF" w:val="clear"/>
            <w:tcMar>
              <w:bottom w:w="28" w:type="dxa"/>
            </w:tcMar>
            <w:vAlign w:val="center"/>
          </w:tcPr>
          <w:p>
            <w:pPr>
              <w:pStyle w:val="TableContents"/>
              <w:bidi w:val="0"/>
              <w:spacing w:before="0" w:after="283"/>
              <w:jc w:val="right"/>
              <w:rPr/>
            </w:pPr>
            <w:r>
              <w:rPr/>
              <w:t>139,761,652</w:t>
            </w:r>
          </w:p>
        </w:tc>
        <w:tc>
          <w:tcPr>
            <w:tcW w:w="92" w:type="dxa"/>
            <w:tcBorders/>
            <w:shd w:fill="FFFFFF" w:val="clear"/>
            <w:vAlign w:val="center"/>
          </w:tcPr>
          <w:p>
            <w:pPr>
              <w:pStyle w:val="TableContents"/>
              <w:bidi w:val="0"/>
              <w:spacing w:before="0" w:after="283"/>
              <w:jc w:val="left"/>
              <w:rPr/>
            </w:pPr>
            <w:r>
              <w:rPr/>
              <w:t> </w:t>
            </w:r>
          </w:p>
        </w:tc>
      </w:tr>
      <w:tr>
        <w:trPr/>
        <w:tc>
          <w:tcPr>
            <w:tcW w:w="56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5674" w:type="dxa"/>
            <w:tcBorders/>
            <w:shd w:fill="FFFFFF" w:val="clear"/>
            <w:vAlign w:val="center"/>
          </w:tcPr>
          <w:p>
            <w:pPr>
              <w:pStyle w:val="TableContents"/>
              <w:bidi w:val="0"/>
              <w:spacing w:before="0" w:after="283"/>
              <w:jc w:val="left"/>
              <w:rPr>
                <w:b/>
              </w:rPr>
            </w:pPr>
            <w:r>
              <w:rPr>
                <w:b/>
              </w:rPr>
              <w:t>Basic &amp; diluted (losses) earnings per share attribute to BGIN BLOCKCHAIN LIMITED ordinary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(1.62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double" w:sz="10" w:space="0" w:color="000000"/>
            </w:tcBorders>
            <w:shd w:fill="FFFFFF" w:val="clear"/>
            <w:tcMar>
              <w:bottom w:w="28" w:type="dxa"/>
            </w:tcMar>
            <w:vAlign w:val="center"/>
          </w:tcPr>
          <w:p>
            <w:pPr>
              <w:pStyle w:val="TableContents"/>
              <w:bidi w:val="0"/>
              <w:spacing w:before="0" w:after="283"/>
              <w:jc w:val="right"/>
              <w:rPr/>
            </w:pPr>
            <w:r>
              <w:rPr/>
              <w:t>0.61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double" w:sz="10" w:space="0" w:color="000000"/>
            </w:tcBorders>
            <w:shd w:fill="FFFFFF" w:val="clear"/>
            <w:tcMar>
              <w:bottom w:w="28" w:type="dxa"/>
            </w:tcMar>
            <w:vAlign w:val="center"/>
          </w:tcPr>
          <w:p>
            <w:pPr>
              <w:pStyle w:val="TableContents"/>
              <w:bidi w:val="0"/>
              <w:spacing w:before="0" w:after="283"/>
              <w:jc w:val="right"/>
              <w:rPr/>
            </w:pPr>
            <w:r>
              <w:rPr/>
              <w:t>1.30</w:t>
            </w:r>
          </w:p>
        </w:tc>
        <w:tc>
          <w:tcPr>
            <w:tcW w:w="92" w:type="dxa"/>
            <w:tcBorders/>
            <w:shd w:fill="FFFFFF" w:val="clear"/>
            <w:vAlign w:val="center"/>
          </w:tcPr>
          <w:p>
            <w:pPr>
              <w:pStyle w:val="TableContents"/>
              <w:bidi w:val="0"/>
              <w:spacing w:before="0" w:after="283"/>
              <w:jc w:val="left"/>
              <w:rPr/>
            </w:pPr>
            <w:r>
              <w:rPr/>
              <w:t> </w:t>
            </w:r>
          </w:p>
        </w:tc>
      </w:tr>
      <w:tr>
        <w:trPr/>
        <w:tc>
          <w:tcPr>
            <w:tcW w:w="567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ind w:left="0" w:right="0" w:hanging="200"/>
              <w:jc w:val="left"/>
              <w:rPr/>
            </w:pPr>
            <w:r>
              <w:rPr/>
              <w:t> </w:t>
            </w:r>
          </w:p>
        </w:tc>
      </w:tr>
      <w:tr>
        <w:trPr/>
        <w:tc>
          <w:tcPr>
            <w:tcW w:w="5674" w:type="dxa"/>
            <w:tcBorders/>
            <w:shd w:fill="FFFFFF" w:val="clear"/>
            <w:vAlign w:val="center"/>
          </w:tcPr>
          <w:p>
            <w:pPr>
              <w:pStyle w:val="TableContents"/>
              <w:bidi w:val="0"/>
              <w:spacing w:before="0" w:after="283"/>
              <w:jc w:val="left"/>
              <w:rPr>
                <w:b/>
              </w:rPr>
            </w:pPr>
            <w:r>
              <w:rPr>
                <w:b/>
              </w:rPr>
              <w:t>Weighted average number of Class A and Class B ordinary shares outstanding*-basic and diluted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double" w:sz="10" w:space="0" w:color="000000"/>
            </w:tcBorders>
            <w:shd w:fill="FFFFFF" w:val="clear"/>
            <w:tcMar>
              <w:bottom w:w="28" w:type="dxa"/>
            </w:tcMar>
            <w:vAlign w:val="center"/>
          </w:tcPr>
          <w:p>
            <w:pPr>
              <w:pStyle w:val="TableContents"/>
              <w:bidi w:val="0"/>
              <w:spacing w:before="0" w:after="283"/>
              <w:jc w:val="right"/>
              <w:rPr/>
            </w:pPr>
            <w:r>
              <w:rPr/>
              <w:t>109,060,159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double" w:sz="10" w:space="0" w:color="000000"/>
            </w:tcBorders>
            <w:shd w:fill="FFFFFF" w:val="clear"/>
            <w:tcMar>
              <w:bottom w:w="28" w:type="dxa"/>
            </w:tcMar>
            <w:vAlign w:val="center"/>
          </w:tcPr>
          <w:p>
            <w:pPr>
              <w:pStyle w:val="TableContents"/>
              <w:bidi w:val="0"/>
              <w:spacing w:before="0" w:after="283"/>
              <w:jc w:val="right"/>
              <w:rPr/>
            </w:pPr>
            <w:r>
              <w:rPr/>
              <w:t>107,812,503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double" w:sz="10" w:space="0" w:color="000000"/>
            </w:tcBorders>
            <w:shd w:fill="FFFFFF" w:val="clear"/>
            <w:tcMar>
              <w:bottom w:w="28" w:type="dxa"/>
            </w:tcMar>
            <w:vAlign w:val="center"/>
          </w:tcPr>
          <w:p>
            <w:pPr>
              <w:pStyle w:val="TableContents"/>
              <w:bidi w:val="0"/>
              <w:spacing w:before="0" w:after="283"/>
              <w:jc w:val="right"/>
              <w:rPr/>
            </w:pPr>
            <w:r>
              <w:rPr/>
              <w:t>107,812,503</w:t>
            </w:r>
          </w:p>
        </w:tc>
        <w:tc>
          <w:tcPr>
            <w:tcW w:w="9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caps/>
        </w:rPr>
      </w:pPr>
      <w:r>
        <w:rPr>
          <w:caps/>
        </w:rPr>
        <w:drawing>
          <wp:inline distT="0" distB="0" distL="0" distR="0">
            <wp:extent cx="5943600" cy="7143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943600" cy="714375"/>
                    </a:xfrm>
                    <a:prstGeom prst="rect">
                      <a:avLst/>
                    </a:prstGeom>
                  </pic:spPr>
                </pic:pic>
              </a:graphicData>
            </a:graphic>
          </wp:inline>
        </w:drawing>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BGIN BLOCKCHAIN LIMITED</w:t>
        <w:br/>
      </w:r>
      <w:r>
        <w:rPr>
          <w:rFonts w:ascii="Times New Roman;Times;Serif" w:hAnsi="Times New Roman;Times;Serif"/>
          <w:b/>
          <w:i w:val="false"/>
          <w:caps w:val="false"/>
          <w:smallCaps w:val="false"/>
          <w:sz w:val="20"/>
        </w:rPr>
        <w:t>CONSOLIDATED STATEMENTS OF CASH FLOWS</w:t>
        <w:br/>
        <w:t>FOR THE YEARS ENDED DECEMBER 31, 2025, 2024 AND 2023</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58"/>
        <w:gridCol w:w="60"/>
        <w:gridCol w:w="62"/>
        <w:gridCol w:w="1359"/>
        <w:gridCol w:w="95"/>
        <w:gridCol w:w="60"/>
        <w:gridCol w:w="62"/>
        <w:gridCol w:w="1359"/>
        <w:gridCol w:w="95"/>
        <w:gridCol w:w="60"/>
        <w:gridCol w:w="62"/>
        <w:gridCol w:w="1359"/>
        <w:gridCol w:w="114"/>
      </w:tblGrid>
      <w:tr>
        <w:trPr/>
        <w:tc>
          <w:tcPr>
            <w:tcW w:w="54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w:t>
              <w:br/>
              <w:t xml:space="preserve">Year </w:t>
              <w:br/>
              <w:t xml:space="preserve">Ended </w:t>
              <w:br/>
              <w:t xml:space="preserve">December 31, </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w:t>
              <w:br/>
              <w:t xml:space="preserve">Year </w:t>
              <w:br/>
              <w:t xml:space="preserve">Ended </w:t>
              <w:br/>
              <w:t xml:space="preserve">December 31, </w:t>
              <w:b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 xml:space="preserve">For The </w:t>
              <w:br/>
              <w:t xml:space="preserve">Year </w:t>
              <w:br/>
              <w:t xml:space="preserve">Ended </w:t>
              <w:br/>
              <w:t xml:space="preserve">December 31, </w:t>
              <w:br/>
              <w:t>2023</w:t>
            </w:r>
          </w:p>
        </w:tc>
        <w:tc>
          <w:tcPr>
            <w:tcW w:w="114" w:type="dxa"/>
            <w:tcBorders/>
            <w:vAlign w:val="center"/>
          </w:tcPr>
          <w:p>
            <w:pPr>
              <w:pStyle w:val="TableContents"/>
              <w:bidi w:val="0"/>
              <w:spacing w:before="0" w:after="283"/>
              <w:jc w:val="left"/>
              <w:rPr/>
            </w:pPr>
            <w:r>
              <w:rPr/>
              <w:t> </w:t>
            </w:r>
          </w:p>
        </w:tc>
      </w:tr>
      <w:tr>
        <w:trPr/>
        <w:tc>
          <w:tcPr>
            <w:tcW w:w="54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1"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US$</w:t>
            </w:r>
          </w:p>
        </w:tc>
        <w:tc>
          <w:tcPr>
            <w:tcW w:w="114" w:type="dxa"/>
            <w:tcBorders/>
            <w:vAlign w:val="center"/>
          </w:tcPr>
          <w:p>
            <w:pPr>
              <w:pStyle w:val="TableContents"/>
              <w:bidi w:val="0"/>
              <w:spacing w:before="0" w:after="283"/>
              <w:jc w:val="left"/>
              <w:rPr/>
            </w:pPr>
            <w:r>
              <w:rPr/>
              <w:t> </w:t>
            </w:r>
          </w:p>
        </w:tc>
      </w:tr>
      <w:tr>
        <w:trPr/>
        <w:tc>
          <w:tcPr>
            <w:tcW w:w="5458" w:type="dxa"/>
            <w:tcBorders/>
            <w:vAlign w:val="center"/>
          </w:tcPr>
          <w:p>
            <w:pPr>
              <w:pStyle w:val="TableContents"/>
              <w:bidi w:val="0"/>
              <w:spacing w:before="0" w:after="283"/>
              <w:jc w:val="left"/>
              <w:rPr/>
            </w:pPr>
            <w:r>
              <w:rPr/>
              <w:t>Cash Flows from Operating Activities:</w:t>
            </w:r>
          </w:p>
        </w:tc>
        <w:tc>
          <w:tcPr>
            <w:tcW w:w="60" w:type="dxa"/>
            <w:tcBorders/>
            <w:vAlign w:val="center"/>
          </w:tcPr>
          <w:p>
            <w:pPr>
              <w:pStyle w:val="TableContents"/>
              <w:bidi w:val="0"/>
              <w:spacing w:before="0" w:after="283"/>
              <w:jc w:val="left"/>
              <w:rPr/>
            </w:pPr>
            <w:r>
              <w:rPr/>
              <w:t> </w:t>
            </w:r>
          </w:p>
        </w:tc>
        <w:tc>
          <w:tcPr>
            <w:tcW w:w="1421"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1"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1" w:type="dxa"/>
            <w:gridSpan w:val="2"/>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Net (loss) income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(176,952,806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66,140,805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139,760,782</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Adjustments to reconcile net (loss) income to 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Depreciation</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21,050,529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9,654,039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2,964,283</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Inventories provision and write-off</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62,311,983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36,708,352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Impairment of property and equipment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42,570,833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16,297,933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Provision for expected credit losses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1,649,653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Write-down of prepaid expenses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3,968,211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Change in fair value of cryptocurrencies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23,355,675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8,446,437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(312,722</w:t>
            </w:r>
          </w:p>
        </w:tc>
        <w:tc>
          <w:tcPr>
            <w:tcW w:w="114" w:type="dxa"/>
            <w:tcBorders/>
            <w:shd w:fill="FFFFFF" w:val="clear"/>
            <w:vAlign w:val="center"/>
          </w:tcPr>
          <w:p>
            <w:pPr>
              <w:pStyle w:val="TableContents"/>
              <w:bidi w:val="0"/>
              <w:spacing w:before="0" w:after="283"/>
              <w:ind w:left="0" w:right="0" w:hanging="200"/>
              <w:jc w:val="left"/>
              <w:rPr/>
            </w:pPr>
            <w:r>
              <w:rPr/>
              <w:t>)</w:t>
            </w:r>
          </w:p>
        </w:tc>
      </w:tr>
      <w:tr>
        <w:trPr/>
        <w:tc>
          <w:tcPr>
            <w:tcW w:w="5458" w:type="dxa"/>
            <w:tcBorders/>
            <w:shd w:fill="CCEEFF" w:val="clear"/>
            <w:vAlign w:val="center"/>
          </w:tcPr>
          <w:p>
            <w:pPr>
              <w:pStyle w:val="TableContents"/>
              <w:bidi w:val="0"/>
              <w:spacing w:before="0" w:after="283"/>
              <w:jc w:val="left"/>
              <w:rPr/>
            </w:pPr>
            <w:r>
              <w:rPr/>
              <w:t>Cryptocurrencies mined</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(48,801,605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(103,868,145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(37,003,196</w:t>
            </w:r>
          </w:p>
        </w:tc>
        <w:tc>
          <w:tcPr>
            <w:tcW w:w="114" w:type="dxa"/>
            <w:tcBorders/>
            <w:shd w:fill="CCEEFF" w:val="clear"/>
            <w:vAlign w:val="center"/>
          </w:tcPr>
          <w:p>
            <w:pPr>
              <w:pStyle w:val="TableContents"/>
              <w:bidi w:val="0"/>
              <w:spacing w:before="0" w:after="283"/>
              <w:ind w:left="0" w:right="0" w:hanging="200"/>
              <w:jc w:val="left"/>
              <w:rPr/>
            </w:pPr>
            <w:r>
              <w:rPr/>
              <w:t>)</w:t>
            </w:r>
          </w:p>
        </w:tc>
      </w:tr>
      <w:tr>
        <w:trPr/>
        <w:tc>
          <w:tcPr>
            <w:tcW w:w="5458" w:type="dxa"/>
            <w:tcBorders/>
            <w:shd w:fill="FFFFFF" w:val="clear"/>
            <w:vAlign w:val="center"/>
          </w:tcPr>
          <w:p>
            <w:pPr>
              <w:pStyle w:val="TableContents"/>
              <w:bidi w:val="0"/>
              <w:spacing w:before="0" w:after="283"/>
              <w:jc w:val="left"/>
              <w:rPr/>
            </w:pPr>
            <w:r>
              <w:rPr/>
              <w:t>Loss from disposal of property and equipment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818,395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1,886,990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290,619</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Share-based compensation</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555,045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Employee compensation settled by cryptocurrencies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1,172,391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969,477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10,264,540</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Expenses settled by cryptocurrencies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4,377,234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7,329,446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3,418,735</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Cryptocurrencies paid to mining pool participants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5,803,256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58,269,299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23,765,150</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Cryptocurrencies received from mining machine revenue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(13,920,228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(183,749,800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(198,127,459</w:t>
            </w:r>
          </w:p>
        </w:tc>
        <w:tc>
          <w:tcPr>
            <w:tcW w:w="114" w:type="dxa"/>
            <w:tcBorders/>
            <w:shd w:fill="CCEEFF" w:val="clear"/>
            <w:vAlign w:val="center"/>
          </w:tcPr>
          <w:p>
            <w:pPr>
              <w:pStyle w:val="TableContents"/>
              <w:bidi w:val="0"/>
              <w:spacing w:before="0" w:after="283"/>
              <w:ind w:left="0" w:right="0" w:hanging="200"/>
              <w:jc w:val="left"/>
              <w:rPr/>
            </w:pPr>
            <w:r>
              <w:rPr/>
              <w:t>)</w:t>
            </w:r>
          </w:p>
        </w:tc>
      </w:tr>
      <w:tr>
        <w:trPr/>
        <w:tc>
          <w:tcPr>
            <w:tcW w:w="5458" w:type="dxa"/>
            <w:tcBorders/>
            <w:shd w:fill="FFFFFF" w:val="clear"/>
            <w:vAlign w:val="center"/>
          </w:tcPr>
          <w:p>
            <w:pPr>
              <w:pStyle w:val="TableContents"/>
              <w:bidi w:val="0"/>
              <w:spacing w:before="0" w:after="283"/>
              <w:jc w:val="left"/>
              <w:rPr/>
            </w:pPr>
            <w:r>
              <w:rPr/>
              <w:t>Cryptocurrencies received from hosting revenue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(3,286,206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(5,643,613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(18,592</w:t>
            </w:r>
          </w:p>
        </w:tc>
        <w:tc>
          <w:tcPr>
            <w:tcW w:w="114" w:type="dxa"/>
            <w:tcBorders/>
            <w:shd w:fill="FFFFFF" w:val="clear"/>
            <w:vAlign w:val="center"/>
          </w:tcPr>
          <w:p>
            <w:pPr>
              <w:pStyle w:val="TableContents"/>
              <w:bidi w:val="0"/>
              <w:spacing w:before="0" w:after="283"/>
              <w:ind w:left="0" w:right="0" w:hanging="200"/>
              <w:jc w:val="left"/>
              <w:rPr/>
            </w:pPr>
            <w:r>
              <w:rPr/>
              <w:t>)</w:t>
            </w:r>
          </w:p>
        </w:tc>
      </w:tr>
      <w:tr>
        <w:trPr/>
        <w:tc>
          <w:tcPr>
            <w:tcW w:w="5458" w:type="dxa"/>
            <w:tcBorders/>
            <w:shd w:fill="CCEEFF" w:val="clear"/>
            <w:vAlign w:val="center"/>
          </w:tcPr>
          <w:p>
            <w:pPr>
              <w:pStyle w:val="TableContents"/>
              <w:bidi w:val="0"/>
              <w:spacing w:before="0" w:after="283"/>
              <w:jc w:val="left"/>
              <w:rPr/>
            </w:pPr>
            <w:r>
              <w:rPr/>
              <w:t>Realized loss on future contracts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560,492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726,746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Rewards earned from crypto short-term investments (right to receive cryptocurrencies)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(438,266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(3,653,722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Non-cash operating leases expense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204,387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12,334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1,362</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Deferred income taxes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2,112,353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(2,112,353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(278,065</w:t>
            </w:r>
          </w:p>
        </w:tc>
        <w:tc>
          <w:tcPr>
            <w:tcW w:w="114" w:type="dxa"/>
            <w:tcBorders/>
            <w:shd w:fill="FFFFFF" w:val="clear"/>
            <w:vAlign w:val="center"/>
          </w:tcPr>
          <w:p>
            <w:pPr>
              <w:pStyle w:val="TableContents"/>
              <w:bidi w:val="0"/>
              <w:spacing w:before="0" w:after="283"/>
              <w:ind w:left="0" w:right="0" w:hanging="200"/>
              <w:jc w:val="left"/>
              <w:rPr/>
            </w:pPr>
            <w:r>
              <w:rPr/>
              <w:t>)</w:t>
            </w:r>
          </w:p>
        </w:tc>
      </w:tr>
      <w:tr>
        <w:trPr/>
        <w:tc>
          <w:tcPr>
            <w:tcW w:w="5458" w:type="dxa"/>
            <w:tcBorders/>
            <w:shd w:fill="CCEEFF" w:val="clear"/>
            <w:vAlign w:val="center"/>
          </w:tcPr>
          <w:p>
            <w:pPr>
              <w:pStyle w:val="TableContents"/>
              <w:bidi w:val="0"/>
              <w:spacing w:before="0" w:after="283"/>
              <w:jc w:val="left"/>
              <w:rPr/>
            </w:pPr>
            <w:r>
              <w:rPr/>
              <w:t>Expense of deferred issuance costs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594,473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337,829</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2,807,030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(2,807,030</w:t>
            </w:r>
          </w:p>
        </w:tc>
        <w:tc>
          <w:tcPr>
            <w:tcW w:w="114" w:type="dxa"/>
            <w:tcBorders/>
            <w:shd w:fill="CCEEFF" w:val="clear"/>
            <w:vAlign w:val="center"/>
          </w:tcPr>
          <w:p>
            <w:pPr>
              <w:pStyle w:val="TableContents"/>
              <w:bidi w:val="0"/>
              <w:spacing w:before="0" w:after="283"/>
              <w:ind w:left="0" w:right="0" w:hanging="200"/>
              <w:jc w:val="left"/>
              <w:rPr/>
            </w:pPr>
            <w:r>
              <w:rPr/>
              <w:t>)</w:t>
            </w:r>
          </w:p>
        </w:tc>
      </w:tr>
      <w:tr>
        <w:trPr/>
        <w:tc>
          <w:tcPr>
            <w:tcW w:w="5458"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(74,133,471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(120,843,518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(3,534,937</w:t>
            </w:r>
          </w:p>
        </w:tc>
        <w:tc>
          <w:tcPr>
            <w:tcW w:w="114" w:type="dxa"/>
            <w:tcBorders/>
            <w:shd w:fill="FFFFFF" w:val="clear"/>
            <w:vAlign w:val="center"/>
          </w:tcPr>
          <w:p>
            <w:pPr>
              <w:pStyle w:val="TableContents"/>
              <w:bidi w:val="0"/>
              <w:spacing w:before="0" w:after="283"/>
              <w:ind w:left="0" w:right="0" w:hanging="200"/>
              <w:jc w:val="left"/>
              <w:rPr/>
            </w:pPr>
            <w:r>
              <w:rPr/>
              <w:t>)</w:t>
            </w:r>
          </w:p>
        </w:tc>
      </w:tr>
      <w:tr>
        <w:trPr/>
        <w:tc>
          <w:tcPr>
            <w:tcW w:w="5458"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(585,280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(2,697,474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(7,545,062</w:t>
            </w:r>
          </w:p>
        </w:tc>
        <w:tc>
          <w:tcPr>
            <w:tcW w:w="114" w:type="dxa"/>
            <w:tcBorders/>
            <w:shd w:fill="CCEEFF" w:val="clear"/>
            <w:vAlign w:val="center"/>
          </w:tcPr>
          <w:p>
            <w:pPr>
              <w:pStyle w:val="TableContents"/>
              <w:bidi w:val="0"/>
              <w:spacing w:before="0" w:after="283"/>
              <w:ind w:left="0" w:right="0" w:hanging="200"/>
              <w:jc w:val="left"/>
              <w:rPr/>
            </w:pPr>
            <w:r>
              <w:rPr/>
              <w:t>)</w:t>
            </w:r>
          </w:p>
        </w:tc>
      </w:tr>
      <w:tr>
        <w:trPr/>
        <w:tc>
          <w:tcPr>
            <w:tcW w:w="5458" w:type="dxa"/>
            <w:tcBorders/>
            <w:shd w:fill="FFFFFF" w:val="clear"/>
            <w:vAlign w:val="center"/>
          </w:tcPr>
          <w:p>
            <w:pPr>
              <w:pStyle w:val="TableContents"/>
              <w:bidi w:val="0"/>
              <w:spacing w:before="0" w:after="283"/>
              <w:jc w:val="left"/>
              <w:rPr/>
            </w:pPr>
            <w:r>
              <w:rPr/>
              <w:t>Other receivable</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2,938,361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(7,502,635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(1,043,291</w:t>
            </w:r>
          </w:p>
        </w:tc>
        <w:tc>
          <w:tcPr>
            <w:tcW w:w="114" w:type="dxa"/>
            <w:tcBorders/>
            <w:shd w:fill="FFFFFF" w:val="clear"/>
            <w:vAlign w:val="center"/>
          </w:tcPr>
          <w:p>
            <w:pPr>
              <w:pStyle w:val="TableContents"/>
              <w:bidi w:val="0"/>
              <w:spacing w:before="0" w:after="283"/>
              <w:ind w:left="0" w:right="0" w:hanging="200"/>
              <w:jc w:val="left"/>
              <w:rPr/>
            </w:pPr>
            <w:r>
              <w:rPr/>
              <w:t>)</w:t>
            </w:r>
          </w:p>
        </w:tc>
      </w:tr>
      <w:tr>
        <w:trPr/>
        <w:tc>
          <w:tcPr>
            <w:tcW w:w="5458" w:type="dxa"/>
            <w:tcBorders/>
            <w:shd w:fill="CCEEFF" w:val="clear"/>
            <w:vAlign w:val="center"/>
          </w:tcPr>
          <w:p>
            <w:pPr>
              <w:pStyle w:val="TableContents"/>
              <w:bidi w:val="0"/>
              <w:spacing w:before="0" w:after="283"/>
              <w:jc w:val="left"/>
              <w:rPr/>
            </w:pPr>
            <w:r>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(4,086,929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5,220,760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3,473,662</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(87,222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(298,688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353,636</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Taxes payable</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(17,758,521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16,368,853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34,072,676</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Other payables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(82,514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(400,342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681,679</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(225,606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Due to related parties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9" w:type="dxa"/>
            <w:tcBorders>
              <w:bottom w:val="single" w:sz="12" w:space="0" w:color="000000"/>
            </w:tcBorders>
            <w:shd w:fill="FFFFFF" w:val="clear"/>
            <w:tcMar>
              <w:bottom w:w="28" w:type="dxa"/>
            </w:tcMar>
            <w:vAlign w:val="center"/>
          </w:tcPr>
          <w:p>
            <w:pPr>
              <w:pStyle w:val="TableContents"/>
              <w:bidi w:val="0"/>
              <w:spacing w:before="0" w:after="283"/>
              <w:jc w:val="right"/>
              <w:rPr/>
            </w:pPr>
            <w:r>
              <w:rPr/>
              <w:t>13,418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9" w:type="dxa"/>
            <w:tcBorders>
              <w:bottom w:val="single" w:sz="12" w:space="0" w:color="000000"/>
            </w:tcBorders>
            <w:shd w:fill="CCEEFF" w:val="clear"/>
            <w:tcMar>
              <w:bottom w:w="28" w:type="dxa"/>
            </w:tcMar>
            <w:vAlign w:val="center"/>
          </w:tcPr>
          <w:p>
            <w:pPr>
              <w:pStyle w:val="TableContents"/>
              <w:bidi w:val="0"/>
              <w:spacing w:before="0" w:after="283"/>
              <w:jc w:val="right"/>
              <w:rPr/>
            </w:pPr>
            <w:r>
              <w:rPr/>
              <w:t>(166,896,438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9" w:type="dxa"/>
            <w:tcBorders>
              <w:bottom w:val="single" w:sz="12" w:space="0" w:color="000000"/>
            </w:tcBorders>
            <w:shd w:fill="CCEEFF" w:val="clear"/>
            <w:tcMar>
              <w:bottom w:w="28" w:type="dxa"/>
            </w:tcMar>
            <w:vAlign w:val="center"/>
          </w:tcPr>
          <w:p>
            <w:pPr>
              <w:pStyle w:val="TableContents"/>
              <w:bidi w:val="0"/>
              <w:spacing w:before="0" w:after="283"/>
              <w:jc w:val="right"/>
              <w:rPr/>
            </w:pPr>
            <w:r>
              <w:rPr/>
              <w:t>(199,337,316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9" w:type="dxa"/>
            <w:tcBorders>
              <w:bottom w:val="single" w:sz="12" w:space="0" w:color="000000"/>
            </w:tcBorders>
            <w:shd w:fill="CCEEFF" w:val="clear"/>
            <w:tcMar>
              <w:bottom w:w="28" w:type="dxa"/>
            </w:tcMar>
            <w:vAlign w:val="center"/>
          </w:tcPr>
          <w:p>
            <w:pPr>
              <w:pStyle w:val="TableContents"/>
              <w:bidi w:val="0"/>
              <w:spacing w:before="0" w:after="283"/>
              <w:jc w:val="right"/>
              <w:rPr/>
            </w:pPr>
            <w:r>
              <w:rPr/>
              <w:t>(31,285,401</w:t>
            </w:r>
          </w:p>
        </w:tc>
        <w:tc>
          <w:tcPr>
            <w:tcW w:w="114" w:type="dxa"/>
            <w:tcBorders/>
            <w:shd w:fill="CCEEFF" w:val="clear"/>
            <w:vAlign w:val="center"/>
          </w:tcPr>
          <w:p>
            <w:pPr>
              <w:pStyle w:val="TableContents"/>
              <w:bidi w:val="0"/>
              <w:spacing w:before="0" w:after="283"/>
              <w:jc w:val="left"/>
              <w:rPr/>
            </w:pPr>
            <w:r>
              <w:rPr/>
              <w:t>)</w:t>
            </w:r>
          </w:p>
        </w:tc>
      </w:tr>
      <w:tr>
        <w:trPr/>
        <w:tc>
          <w:tcPr>
            <w:tcW w:w="54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Proceeds from disposal of property and equipment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218,848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Purchase of property and equipment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(4,186,198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(12,968,470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(6,685,461</w:t>
            </w:r>
          </w:p>
        </w:tc>
        <w:tc>
          <w:tcPr>
            <w:tcW w:w="114" w:type="dxa"/>
            <w:tcBorders/>
            <w:shd w:fill="CCEEFF" w:val="clear"/>
            <w:vAlign w:val="center"/>
          </w:tcPr>
          <w:p>
            <w:pPr>
              <w:pStyle w:val="TableContents"/>
              <w:bidi w:val="0"/>
              <w:spacing w:before="0" w:after="283"/>
              <w:ind w:left="0" w:right="0" w:hanging="200"/>
              <w:jc w:val="left"/>
              <w:rPr/>
            </w:pPr>
            <w:r>
              <w:rPr/>
              <w:t>)</w:t>
            </w:r>
          </w:p>
        </w:tc>
      </w:tr>
      <w:tr>
        <w:trPr/>
        <w:tc>
          <w:tcPr>
            <w:tcW w:w="5458" w:type="dxa"/>
            <w:tcBorders/>
            <w:shd w:fill="FFFFFF" w:val="clear"/>
            <w:vAlign w:val="center"/>
          </w:tcPr>
          <w:p>
            <w:pPr>
              <w:pStyle w:val="TableContents"/>
              <w:bidi w:val="0"/>
              <w:spacing w:before="0" w:after="283"/>
              <w:jc w:val="left"/>
              <w:rPr/>
            </w:pPr>
            <w:r>
              <w:rPr/>
              <w:t>Proceeds received from sale of cryptocurrencies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9" w:type="dxa"/>
            <w:tcBorders>
              <w:bottom w:val="single" w:sz="12" w:space="0" w:color="000000"/>
            </w:tcBorders>
            <w:shd w:fill="FFFFFF" w:val="clear"/>
            <w:tcMar>
              <w:bottom w:w="28" w:type="dxa"/>
            </w:tcMar>
            <w:vAlign w:val="center"/>
          </w:tcPr>
          <w:p>
            <w:pPr>
              <w:pStyle w:val="TableContents"/>
              <w:bidi w:val="0"/>
              <w:spacing w:before="0" w:after="283"/>
              <w:jc w:val="right"/>
              <w:rPr/>
            </w:pPr>
            <w:r>
              <w:rPr/>
              <w:t>59,515,915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9" w:type="dxa"/>
            <w:tcBorders>
              <w:bottom w:val="single" w:sz="12" w:space="0" w:color="000000"/>
            </w:tcBorders>
            <w:shd w:fill="FFFFFF" w:val="clear"/>
            <w:tcMar>
              <w:bottom w:w="28" w:type="dxa"/>
            </w:tcMar>
            <w:vAlign w:val="center"/>
          </w:tcPr>
          <w:p>
            <w:pPr>
              <w:pStyle w:val="TableContents"/>
              <w:bidi w:val="0"/>
              <w:spacing w:before="0" w:after="283"/>
              <w:jc w:val="right"/>
              <w:rPr/>
            </w:pPr>
            <w:r>
              <w:rPr/>
              <w:t>280,951,961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9" w:type="dxa"/>
            <w:tcBorders>
              <w:bottom w:val="single" w:sz="12" w:space="0" w:color="000000"/>
            </w:tcBorders>
            <w:shd w:fill="FFFFFF" w:val="clear"/>
            <w:tcMar>
              <w:bottom w:w="28" w:type="dxa"/>
            </w:tcMar>
            <w:vAlign w:val="center"/>
          </w:tcPr>
          <w:p>
            <w:pPr>
              <w:pStyle w:val="TableContents"/>
              <w:bidi w:val="0"/>
              <w:spacing w:before="0" w:after="283"/>
              <w:jc w:val="right"/>
              <w:rPr/>
            </w:pPr>
            <w:r>
              <w:rPr/>
              <w:t>84,426,550</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Net cash provided by investing activities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9" w:type="dxa"/>
            <w:tcBorders>
              <w:bottom w:val="single" w:sz="12" w:space="0" w:color="000000"/>
            </w:tcBorders>
            <w:shd w:fill="CCEEFF" w:val="clear"/>
            <w:tcMar>
              <w:bottom w:w="28" w:type="dxa"/>
            </w:tcMar>
            <w:vAlign w:val="center"/>
          </w:tcPr>
          <w:p>
            <w:pPr>
              <w:pStyle w:val="TableContents"/>
              <w:bidi w:val="0"/>
              <w:spacing w:before="0" w:after="283"/>
              <w:jc w:val="right"/>
              <w:rPr/>
            </w:pPr>
            <w:r>
              <w:rPr/>
              <w:t>55,548,565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9" w:type="dxa"/>
            <w:tcBorders>
              <w:bottom w:val="single" w:sz="12" w:space="0" w:color="000000"/>
            </w:tcBorders>
            <w:shd w:fill="CCEEFF" w:val="clear"/>
            <w:tcMar>
              <w:bottom w:w="28" w:type="dxa"/>
            </w:tcMar>
            <w:vAlign w:val="center"/>
          </w:tcPr>
          <w:p>
            <w:pPr>
              <w:pStyle w:val="TableContents"/>
              <w:bidi w:val="0"/>
              <w:spacing w:before="0" w:after="283"/>
              <w:jc w:val="right"/>
              <w:rPr/>
            </w:pPr>
            <w:r>
              <w:rPr/>
              <w:t>267,983,491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9" w:type="dxa"/>
            <w:tcBorders>
              <w:bottom w:val="single" w:sz="12" w:space="0" w:color="000000"/>
            </w:tcBorders>
            <w:shd w:fill="CCEEFF" w:val="clear"/>
            <w:tcMar>
              <w:bottom w:w="28" w:type="dxa"/>
            </w:tcMar>
            <w:vAlign w:val="center"/>
          </w:tcPr>
          <w:p>
            <w:pPr>
              <w:pStyle w:val="TableContents"/>
              <w:bidi w:val="0"/>
              <w:spacing w:before="0" w:after="283"/>
              <w:jc w:val="right"/>
              <w:rPr/>
            </w:pPr>
            <w:r>
              <w:rPr/>
              <w:t>77,741,089</w:t>
            </w:r>
          </w:p>
        </w:tc>
        <w:tc>
          <w:tcPr>
            <w:tcW w:w="114" w:type="dxa"/>
            <w:tcBorders/>
            <w:shd w:fill="CCEEFF" w:val="clear"/>
            <w:vAlign w:val="center"/>
          </w:tcPr>
          <w:p>
            <w:pPr>
              <w:pStyle w:val="TableContents"/>
              <w:bidi w:val="0"/>
              <w:spacing w:before="0" w:after="283"/>
              <w:jc w:val="left"/>
              <w:rPr/>
            </w:pPr>
            <w:r>
              <w:rPr/>
              <w:t> </w:t>
            </w:r>
          </w:p>
        </w:tc>
      </w:tr>
      <w:tr>
        <w:trPr/>
        <w:tc>
          <w:tcPr>
            <w:tcW w:w="54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Advance from (Repayments to) related parties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(110,721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141,099</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Increase in deferred issuance costs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(427,965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(502,683</w:t>
            </w:r>
          </w:p>
        </w:tc>
        <w:tc>
          <w:tcPr>
            <w:tcW w:w="114" w:type="dxa"/>
            <w:tcBorders/>
            <w:shd w:fill="CCEEFF" w:val="clear"/>
            <w:vAlign w:val="center"/>
          </w:tcPr>
          <w:p>
            <w:pPr>
              <w:pStyle w:val="TableContents"/>
              <w:bidi w:val="0"/>
              <w:spacing w:before="0" w:after="283"/>
              <w:ind w:left="0" w:right="0" w:hanging="200"/>
              <w:jc w:val="left"/>
              <w:rPr/>
            </w:pPr>
            <w:r>
              <w:rPr/>
              <w:t>)</w:t>
            </w:r>
          </w:p>
        </w:tc>
      </w:tr>
      <w:tr>
        <w:trPr/>
        <w:tc>
          <w:tcPr>
            <w:tcW w:w="5458" w:type="dxa"/>
            <w:tcBorders/>
            <w:shd w:fill="FFFFFF" w:val="clear"/>
            <w:vAlign w:val="center"/>
          </w:tcPr>
          <w:p>
            <w:pPr>
              <w:pStyle w:val="TableContents"/>
              <w:bidi w:val="0"/>
              <w:spacing w:before="0" w:after="283"/>
              <w:jc w:val="left"/>
              <w:rPr/>
            </w:pPr>
            <w:r>
              <w:rPr/>
              <w:t>Dividend paid</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(4,051,000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Proceeds from initial public offering, net of issuance cost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26,878,358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Proceeds from share issuance</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9" w:type="dxa"/>
            <w:tcBorders>
              <w:bottom w:val="single" w:sz="12" w:space="0" w:color="000000"/>
            </w:tcBorders>
            <w:shd w:fill="FFFFFF" w:val="clear"/>
            <w:tcMar>
              <w:bottom w:w="28" w:type="dxa"/>
            </w:tcMar>
            <w:vAlign w:val="center"/>
          </w:tcPr>
          <w:p>
            <w:pPr>
              <w:pStyle w:val="TableContents"/>
              <w:bidi w:val="0"/>
              <w:spacing w:before="0" w:after="283"/>
              <w:jc w:val="right"/>
              <w:rPr/>
            </w:pPr>
            <w:r>
              <w:rPr/>
              <w:t>2,500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9" w:type="dxa"/>
            <w:tcBorders>
              <w:bottom w:val="single" w:sz="12"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9" w:type="dxa"/>
            <w:tcBorders>
              <w:bottom w:val="single" w:sz="12" w:space="0" w:color="000000"/>
            </w:tcBorders>
            <w:shd w:fill="CCEEFF" w:val="clear"/>
            <w:tcMar>
              <w:bottom w:w="28" w:type="dxa"/>
            </w:tcMar>
            <w:vAlign w:val="center"/>
          </w:tcPr>
          <w:p>
            <w:pPr>
              <w:pStyle w:val="TableContents"/>
              <w:bidi w:val="0"/>
              <w:spacing w:before="0" w:after="283"/>
              <w:jc w:val="right"/>
              <w:rPr/>
            </w:pPr>
            <w:r>
              <w:rPr/>
              <w:t>22,829,858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9" w:type="dxa"/>
            <w:tcBorders>
              <w:bottom w:val="single" w:sz="12" w:space="0" w:color="000000"/>
            </w:tcBorders>
            <w:shd w:fill="CCEEFF" w:val="clear"/>
            <w:tcMar>
              <w:bottom w:w="28" w:type="dxa"/>
            </w:tcMar>
            <w:vAlign w:val="center"/>
          </w:tcPr>
          <w:p>
            <w:pPr>
              <w:pStyle w:val="TableContents"/>
              <w:bidi w:val="0"/>
              <w:spacing w:before="0" w:after="283"/>
              <w:jc w:val="right"/>
              <w:rPr/>
            </w:pPr>
            <w:r>
              <w:rPr/>
              <w:t>(538,686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9" w:type="dxa"/>
            <w:tcBorders>
              <w:bottom w:val="single" w:sz="12" w:space="0" w:color="000000"/>
            </w:tcBorders>
            <w:shd w:fill="CCEEFF" w:val="clear"/>
            <w:tcMar>
              <w:bottom w:w="28" w:type="dxa"/>
            </w:tcMar>
            <w:vAlign w:val="center"/>
          </w:tcPr>
          <w:p>
            <w:pPr>
              <w:pStyle w:val="TableContents"/>
              <w:bidi w:val="0"/>
              <w:spacing w:before="0" w:after="283"/>
              <w:jc w:val="right"/>
              <w:rPr/>
            </w:pPr>
            <w:r>
              <w:rPr/>
              <w:t>(361,584</w:t>
            </w:r>
          </w:p>
        </w:tc>
        <w:tc>
          <w:tcPr>
            <w:tcW w:w="114" w:type="dxa"/>
            <w:tcBorders/>
            <w:shd w:fill="CCEEFF" w:val="clear"/>
            <w:vAlign w:val="center"/>
          </w:tcPr>
          <w:p>
            <w:pPr>
              <w:pStyle w:val="TableContents"/>
              <w:bidi w:val="0"/>
              <w:spacing w:before="0" w:after="283"/>
              <w:jc w:val="left"/>
              <w:rPr/>
            </w:pPr>
            <w:r>
              <w:rPr/>
              <w:t>)</w:t>
            </w:r>
          </w:p>
        </w:tc>
      </w:tr>
      <w:tr>
        <w:trPr/>
        <w:tc>
          <w:tcPr>
            <w:tcW w:w="54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Effect of foreign exchange rate changes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1,024</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Net (decrease)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9" w:type="dxa"/>
            <w:tcBorders>
              <w:bottom w:val="single" w:sz="12" w:space="0" w:color="000000"/>
            </w:tcBorders>
            <w:shd w:fill="FFFFFF" w:val="clear"/>
            <w:tcMar>
              <w:bottom w:w="28" w:type="dxa"/>
            </w:tcMar>
            <w:vAlign w:val="center"/>
          </w:tcPr>
          <w:p>
            <w:pPr>
              <w:pStyle w:val="TableContents"/>
              <w:bidi w:val="0"/>
              <w:spacing w:before="0" w:after="283"/>
              <w:jc w:val="right"/>
              <w:rPr/>
            </w:pPr>
            <w:r>
              <w:rPr/>
              <w:t>(88,518,015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9" w:type="dxa"/>
            <w:tcBorders>
              <w:bottom w:val="single" w:sz="12" w:space="0" w:color="000000"/>
            </w:tcBorders>
            <w:shd w:fill="FFFFFF" w:val="clear"/>
            <w:tcMar>
              <w:bottom w:w="28" w:type="dxa"/>
            </w:tcMar>
            <w:vAlign w:val="center"/>
          </w:tcPr>
          <w:p>
            <w:pPr>
              <w:pStyle w:val="TableContents"/>
              <w:bidi w:val="0"/>
              <w:spacing w:before="0" w:after="283"/>
              <w:jc w:val="right"/>
              <w:rPr/>
            </w:pPr>
            <w:r>
              <w:rPr/>
              <w:t>68,107,489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359" w:type="dxa"/>
            <w:tcBorders>
              <w:bottom w:val="single" w:sz="12" w:space="0" w:color="000000"/>
            </w:tcBorders>
            <w:shd w:fill="FFFFFF" w:val="clear"/>
            <w:tcMar>
              <w:bottom w:w="28" w:type="dxa"/>
            </w:tcMar>
            <w:vAlign w:val="center"/>
          </w:tcPr>
          <w:p>
            <w:pPr>
              <w:pStyle w:val="TableContents"/>
              <w:bidi w:val="0"/>
              <w:spacing w:before="0" w:after="283"/>
              <w:jc w:val="right"/>
              <w:rPr/>
            </w:pPr>
            <w:r>
              <w:rPr/>
              <w:t>46,095,128</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Cash and cash equivalents, beginning of year</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9" w:type="dxa"/>
            <w:tcBorders>
              <w:bottom w:val="single" w:sz="12" w:space="0" w:color="000000"/>
            </w:tcBorders>
            <w:shd w:fill="CCEEFF" w:val="clear"/>
            <w:tcMar>
              <w:bottom w:w="28" w:type="dxa"/>
            </w:tcMar>
            <w:vAlign w:val="center"/>
          </w:tcPr>
          <w:p>
            <w:pPr>
              <w:pStyle w:val="TableContents"/>
              <w:bidi w:val="0"/>
              <w:spacing w:before="0" w:after="283"/>
              <w:jc w:val="right"/>
              <w:rPr/>
            </w:pPr>
            <w:r>
              <w:rPr/>
              <w:t>114,804,348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9" w:type="dxa"/>
            <w:tcBorders>
              <w:bottom w:val="single" w:sz="12" w:space="0" w:color="000000"/>
            </w:tcBorders>
            <w:shd w:fill="CCEEFF" w:val="clear"/>
            <w:tcMar>
              <w:bottom w:w="28" w:type="dxa"/>
            </w:tcMar>
            <w:vAlign w:val="center"/>
          </w:tcPr>
          <w:p>
            <w:pPr>
              <w:pStyle w:val="TableContents"/>
              <w:bidi w:val="0"/>
              <w:spacing w:before="0" w:after="283"/>
              <w:jc w:val="right"/>
              <w:rPr/>
            </w:pPr>
            <w:r>
              <w:rPr/>
              <w:t>46,696,859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359" w:type="dxa"/>
            <w:tcBorders>
              <w:bottom w:val="single" w:sz="12" w:space="0" w:color="000000"/>
            </w:tcBorders>
            <w:shd w:fill="CCEEFF" w:val="clear"/>
            <w:tcMar>
              <w:bottom w:w="28" w:type="dxa"/>
            </w:tcMar>
            <w:vAlign w:val="center"/>
          </w:tcPr>
          <w:p>
            <w:pPr>
              <w:pStyle w:val="TableContents"/>
              <w:bidi w:val="0"/>
              <w:spacing w:before="0" w:after="283"/>
              <w:jc w:val="right"/>
              <w:rPr/>
            </w:pPr>
            <w:r>
              <w:rPr/>
              <w:t>601,731</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Cash and cash equivalents, end of year</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26,286,333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114,804,348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46,696,859</w:t>
            </w:r>
          </w:p>
        </w:tc>
        <w:tc>
          <w:tcPr>
            <w:tcW w:w="114" w:type="dxa"/>
            <w:tcBorders/>
            <w:shd w:fill="FFFFFF" w:val="clear"/>
            <w:vAlign w:val="center"/>
          </w:tcPr>
          <w:p>
            <w:pPr>
              <w:pStyle w:val="TableContents"/>
              <w:bidi w:val="0"/>
              <w:spacing w:before="0" w:after="283"/>
              <w:jc w:val="left"/>
              <w:rPr/>
            </w:pPr>
            <w:r>
              <w:rPr/>
              <w:t> </w:t>
            </w:r>
          </w:p>
        </w:tc>
      </w:tr>
      <w:tr>
        <w:trPr/>
        <w:tc>
          <w:tcPr>
            <w:tcW w:w="54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SUPPLEMENTAL DISCLOSURE OF CASH FLOWS INFORMATION:</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Income taxes paid</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18,130,952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381,808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17,488</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Cryptocurrencies invested in short-term investments and future contracts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50,811,461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331,569,220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Accounts payable &amp; accrued liabilities settled cryptocurrencies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1,802,802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292,684</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Redemption of cryptocurrency short-term investments and future contracts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66,882,828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319,029,349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Cryptocurrencies used for payments of due to related party</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433,833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150,714</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Cryptocurrencies used to pay dividends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949,000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5,000,000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Cryptocurrencies received from loan lent to related parties</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101,336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Cryptocurrencies lent to third party</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5,000,000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Cryptocurrencies received from repayment of cryptocurrency loan to third party</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5,197,014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Deferred offering costs recognized against the proceeds from the offering</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795,797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458" w:type="dxa"/>
            <w:tcBorders/>
            <w:shd w:fill="CCEEFF" w:val="clear"/>
            <w:vAlign w:val="center"/>
          </w:tcPr>
          <w:p>
            <w:pPr>
              <w:pStyle w:val="TableContents"/>
              <w:bidi w:val="0"/>
              <w:spacing w:before="0" w:after="283"/>
              <w:jc w:val="left"/>
              <w:rPr/>
            </w:pPr>
            <w:r>
              <w:rPr/>
              <w:t>Property and equipment transferred from inventory</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16,045,768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75,178,970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359" w:type="dxa"/>
            <w:tcBorders/>
            <w:shd w:fill="CCEEFF" w:val="cle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458" w:type="dxa"/>
            <w:tcBorders/>
            <w:shd w:fill="FFFFFF" w:val="clear"/>
            <w:vAlign w:val="center"/>
          </w:tcPr>
          <w:p>
            <w:pPr>
              <w:pStyle w:val="TableContents"/>
              <w:bidi w:val="0"/>
              <w:spacing w:before="0" w:after="283"/>
              <w:jc w:val="left"/>
              <w:rPr/>
            </w:pPr>
            <w:r>
              <w:rPr/>
              <w:t>Right-of-use assets acquired in exchange for operating lease liabilities</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347,587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pPr>
            <w:r>
              <w:rPr/>
              <w:t>382,990</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i/>
              </w:rPr>
            </w:pPr>
            <w:r>
              <w:rPr>
                <w:i/>
              </w:rPr>
              <w:t>*</w:t>
            </w:r>
          </w:p>
        </w:tc>
        <w:tc>
          <w:tcPr>
            <w:tcW w:w="10050" w:type="dxa"/>
            <w:tcBorders/>
            <w:vAlign w:val="center"/>
          </w:tcPr>
          <w:p>
            <w:pPr>
              <w:pStyle w:val="TableContents"/>
              <w:bidi w:val="0"/>
              <w:spacing w:before="0" w:after="283"/>
              <w:jc w:val="both"/>
              <w:rPr>
                <w:i/>
              </w:rPr>
            </w:pPr>
            <w:r>
              <w:rPr>
                <w:i/>
              </w:rPr>
              <w:t>The number of ordinary shares has been retrospectively adjusted for the 1-for-10 share subdivision effected on February 3, 2025 (the “February 2025 Share Subdivision”), the increase of share capital effected on February 3, 2025 (the “Share Capital Increase”) and the issuance of the an aggregate of 19,770,000 Class A ordinary shares and 5,230,000 Class B ordinary shares on February 3, 2025 to existing shareholders of BGIN BLOCKCHAIN LIMITED on a pro rata basis (the “Share Issuance”), and the 1-for-1.4375 share subdivision effected on July 16, 2025 (the “July 2025 Share Subdivision”)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3272</Words>
  <Characters>19761</Characters>
  <CharactersWithSpaces>23896</CharactersWithSpaces>
  <Paragraphs>2151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