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7062-s8_bgin.htm"/>
      <w:bookmarkStart w:id="1" w:name="ksea0307062s8_bgin"/>
      <w:bookmarkEnd w:id="0"/>
      <w:bookmarkEnd w:id="1"/>
      <w:r>
        <w:rPr>
          <w:b/>
        </w:rPr>
        <w:t>As filed with the U.S. Securities and Exchange Commission on September 30,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b/>
                <w:sz w:val="20"/>
              </w:rPr>
            </w:pPr>
            <w:r>
              <w:rPr>
                <w:b/>
                <w:sz w:val="20"/>
              </w:rPr>
              <w:t>BGIN BLOCKCHAIN LIMITED</w:t>
            </w:r>
          </w:p>
        </w:tc>
      </w:tr>
      <w:tr>
        <w:trPr/>
        <w:tc>
          <w:tcPr>
            <w:tcW w:w="417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#09-12 Paya Lebar Square</w:t>
        <w:br/>
        <w:t>60 Paya Lebar Road</w:t>
        <w:br/>
        <w:t>Singapore 409051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b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 xml:space="preserve">New York, NY 10168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947-7200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Ying Li,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Guillaume de Sampigny,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212-530-2206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both"/>
              <w:rPr>
                <w:sz w:val="20"/>
              </w:rPr>
            </w:pPr>
            <w:r>
              <w:rPr>
                <w:sz w:val="20"/>
              </w:rPr>
              <w:t xml:space="preserve">Large accelerated filer </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sz w:val="20"/>
              </w:rPr>
            </w:pPr>
            <w:r>
              <w:rPr>
                <w:sz w:val="20"/>
              </w:rPr>
              <w:t xml:space="preserve">Accelerated filer </w:t>
            </w:r>
          </w:p>
        </w:tc>
        <w:tc>
          <w:tcPr>
            <w:tcW w:w="245" w:type="dxa"/>
            <w:tcBorders/>
            <w:vAlign w:val="center"/>
          </w:tcPr>
          <w:p>
            <w:pPr>
              <w:pStyle w:val="TableContents"/>
              <w:bidi w:val="0"/>
              <w:spacing w:before="0" w:after="283"/>
              <w:jc w:val="both"/>
              <w:rPr/>
            </w:pPr>
            <w:r>
              <w:rPr/>
              <w:t>☐</w:t>
            </w:r>
          </w:p>
        </w:tc>
      </w:tr>
      <w:tr>
        <w:trPr/>
        <w:tc>
          <w:tcPr>
            <w:tcW w:w="2240" w:type="dxa"/>
            <w:tcBorders/>
            <w:vAlign w:val="center"/>
          </w:tcPr>
          <w:p>
            <w:pPr>
              <w:pStyle w:val="TableContents"/>
              <w:bidi w:val="0"/>
              <w:spacing w:before="0" w:after="283"/>
              <w:jc w:val="both"/>
              <w:rPr>
                <w:sz w:val="20"/>
              </w:rPr>
            </w:pPr>
            <w:r>
              <w:rPr>
                <w:sz w:val="20"/>
              </w:rPr>
              <w:t xml:space="preserve">Non-accelerated filer </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sz w:val="20"/>
              </w:rPr>
            </w:pPr>
            <w:r>
              <w:rPr>
                <w:sz w:val="20"/>
              </w:rPr>
              <w:t>Smaller reporting company</w:t>
            </w:r>
          </w:p>
        </w:tc>
        <w:tc>
          <w:tcPr>
            <w:tcW w:w="245" w:type="dxa"/>
            <w:tcBorders/>
            <w:vAlign w:val="center"/>
          </w:tcPr>
          <w:p>
            <w:pPr>
              <w:pStyle w:val="TableContents"/>
              <w:bidi w:val="0"/>
              <w:spacing w:before="0" w:after="283"/>
              <w:jc w:val="both"/>
              <w:rPr/>
            </w:pPr>
            <w:r>
              <w:rPr/>
              <w:t>☐</w:t>
            </w:r>
          </w:p>
        </w:tc>
      </w:tr>
      <w:tr>
        <w:trPr/>
        <w:tc>
          <w:tcPr>
            <w:tcW w:w="2240" w:type="dxa"/>
            <w:tcBorders/>
            <w:vAlign w:val="center"/>
          </w:tcPr>
          <w:p>
            <w:pPr>
              <w:pStyle w:val="TableContents"/>
              <w:bidi w:val="0"/>
              <w:spacing w:before="0" w:after="283"/>
              <w:jc w:val="both"/>
              <w:rPr>
                <w:sz w:val="20"/>
              </w:rPr>
            </w:pPr>
            <w:r>
              <w:rPr>
                <w:sz w:val="20"/>
              </w:rPr>
              <w:t>Emerging growth company</w:t>
            </w:r>
          </w:p>
        </w:tc>
        <w:tc>
          <w:tcPr>
            <w:tcW w:w="230" w:type="dxa"/>
            <w:tcBorders/>
            <w:vAlign w:val="center"/>
          </w:tcPr>
          <w:p>
            <w:pPr>
              <w:pStyle w:val="TableContents"/>
              <w:bidi w:val="0"/>
              <w:spacing w:before="0" w:after="283"/>
              <w:jc w:val="both"/>
              <w:rPr/>
            </w:pPr>
            <w:r>
              <w:rPr/>
              <w:t>☒</w:t>
            </w:r>
          </w:p>
        </w:tc>
        <w:tc>
          <w:tcPr>
            <w:tcW w:w="247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filed by BGIN BLOCKCHAIN LIMITED (the “Registrant”) to register up to 9,000,000 Class A ordinary shares of par value US$0.0000695652173913043 per share, that may be issued under the Registrant’s Equity Incentive Plan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0042" w:type="dxa"/>
            <w:tcBorders/>
            <w:vAlign w:val="center"/>
          </w:tcPr>
          <w:p>
            <w:pPr>
              <w:pStyle w:val="TableContents"/>
              <w:bidi w:val="0"/>
              <w:spacing w:before="0" w:after="283"/>
              <w:jc w:val="both"/>
              <w:rPr>
                <w:sz w:val="20"/>
              </w:rPr>
            </w:pPr>
            <w:r>
              <w:rPr>
                <w:sz w:val="20"/>
              </w:rPr>
              <w:t>The documents containing the information specified in this Part I of Form S-8 (Plan Information and Registration Information and Employee Plan Annual Information) will be sent or given to recipients of the grants under the Plan as specified by the U.S. Securities and Exchange Commission (the “SEC”) pursuant to Rule 428(b)(1) of the Securities Act of 1933, as amended (the “Securities Act”). Such documents are not required to be, and are not, filed with the SEC either as part of this Registration Statement or as prospectuses or prospectus supplements pursuant to Rule 424 of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of the Securities Act, and will include the address and telephone number to which the request is to be directed.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subject to the informational requirements of the Securities Exchange Act of 1934, as amended (the “Exchange Act”), and, accordingly, files periodic reports and other information with the SEC. The SEC maintains a website that contains reports, proxy and information statements and other information regarding registrants that file electronically with the SEC, including the Registrant. The address for the SEC’s website is “http://www.sec.gov.” The following documents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(a)</w:t>
            </w:r>
          </w:p>
        </w:tc>
        <w:tc>
          <w:tcPr>
            <w:tcW w:w="9952" w:type="dxa"/>
            <w:tcBorders/>
            <w:vAlign w:val="center"/>
          </w:tcPr>
          <w:p>
            <w:pPr>
              <w:pStyle w:val="TableContents"/>
              <w:bidi w:val="0"/>
              <w:spacing w:before="0" w:after="283"/>
              <w:jc w:val="both"/>
              <w:rPr/>
            </w:pPr>
            <w:r>
              <w:rPr>
                <w:sz w:val="20"/>
              </w:rPr>
              <w:t xml:space="preserve">The Registrant’s Annual Report on </w:t>
            </w:r>
            <w:hyperlink r:id="rId2">
              <w:r>
                <w:rPr>
                  <w:rStyle w:val="InternetLink"/>
                  <w:sz w:val="20"/>
                </w:rPr>
                <w:t>Form 20-F</w:t>
              </w:r>
            </w:hyperlink>
            <w:r>
              <w:rPr>
                <w:sz w:val="20"/>
              </w:rPr>
              <w:t xml:space="preserve"> for the fiscal year ended December 31, 2025 filed with the SEC on April 28, 2026 (the “2025 Form 20-F”);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20"/>
              </w:rPr>
            </w:pPr>
            <w:r>
              <w:rPr>
                <w:sz w:val="20"/>
              </w:rPr>
              <w:t>(b)</w:t>
            </w:r>
          </w:p>
        </w:tc>
        <w:tc>
          <w:tcPr>
            <w:tcW w:w="9962" w:type="dxa"/>
            <w:tcBorders/>
            <w:vAlign w:val="center"/>
          </w:tcPr>
          <w:p>
            <w:pPr>
              <w:pStyle w:val="TableContents"/>
              <w:bidi w:val="0"/>
              <w:spacing w:before="0" w:after="283"/>
              <w:jc w:val="both"/>
              <w:rPr/>
            </w:pPr>
            <w:r>
              <w:rPr>
                <w:sz w:val="20"/>
              </w:rPr>
              <w:t xml:space="preserve">The description of the Registrant’s Class A ordinary shares contained in the registration statement on </w:t>
            </w:r>
            <w:hyperlink r:id="rId3">
              <w:r>
                <w:rPr>
                  <w:rStyle w:val="InternetLink"/>
                  <w:sz w:val="20"/>
                </w:rPr>
                <w:t>Form 8-A</w:t>
              </w:r>
            </w:hyperlink>
            <w:r>
              <w:rPr>
                <w:sz w:val="20"/>
              </w:rPr>
              <w:t xml:space="preserve">, filed with the SEC on October 20, 2025, Description of Securities (incorporated herein by reference to </w:t>
            </w:r>
            <w:hyperlink r:id="rId4">
              <w:r>
                <w:rPr>
                  <w:rStyle w:val="InternetLink"/>
                  <w:sz w:val="20"/>
                </w:rPr>
                <w:t>Exhibit 2.2</w:t>
              </w:r>
            </w:hyperlink>
            <w:r>
              <w:rPr>
                <w:sz w:val="20"/>
              </w:rPr>
              <w:t xml:space="preserve"> to the 2025 Form 20-F), and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such information is deemed furnished and not filed pursuant to securities laws and regulations, all documents subsequently filed by the Registrant pursuant to Sections 13(a), 13(c), 14, or 15(d) of the Exchange Act and, to the extent specifically designated therein, reports on Form 6-K furnished by the Registrant to the SEC, in each case, prior to the filing of a post-effective amendment to this Registration Statement indicating that all securities offered under this Registration Statement have been sold, or deregistering all securities then remaining unsold, shall be deemed to be incorporated by reference in this Registration Statement and to be a part hereof from the date of filing or furnishing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indemnification of officers and directors, except to the extent any such provision may be held by the Cayman Islands courts to be contrary to the public policy, such as providing indemnification against willful default, willful neglect, actual fraud or the consequences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provides that each existing or former director (including alternate directors), secretary and other officer of our company (including an investment adviser or an administrator or liquidator) and their personal representatives shall be indemnified to the extent permitted by law, against all actions, proceedings, costs, charges, expenses, losses, damages or liabilities incurred or sustained by such existing or former director (including alternate director), secretary or officer, in or about the conduct of our company’s business or affairs or in the execution or discharge of his or her duties, powers, authorities or discretions, and, without limitation to the foregoing, all costs, expenses, losses or liabilities incurred by such existing or former director (including alternate director), secretary or officer in defending (whether successfully or otherwise) any civil, criminal, administrative or investigative proceedings (whether threatened, pending or completed) concerning our company or its affairs in any court or tribunal, whether in the Cayman Islands or elsewhere. No such existing or former director (including alternate director), secretary or officer, however, shall be indemnified in respect of any matter arising out of his or her own willful neglect, willful default or actual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indemnification agreements we maintain with our directors and executive officers, we agree to indemnify them against certain liabilities and expenses incurred by such persons in connection with claims made by reason of their being such a director or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5">
              <w:r>
                <w:rPr>
                  <w:rStyle w:val="InternetLink"/>
                  <w:sz w:val="20"/>
                </w:rPr>
                <w:t>Registrant’s Specimen Certificate for Class A Ordinary Shares of the Registrant (incorporated herein by reference to Exhibit 4.1 to the registration statement on Form F-1 (File No. 333-285108), as amended, initially filed with the SEC on February 21, 2025)</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6">
              <w:r>
                <w:rPr>
                  <w:rStyle w:val="InternetLink"/>
                  <w:sz w:val="20"/>
                </w:rPr>
                <w:t>Description of Securities (incorporated herein by reference to Exhibit 2.2 to the annual report on Form 20-F (File No. 001-42908), filed with the SEC on April 28, 2026)</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7">
              <w:r>
                <w:rPr>
                  <w:rStyle w:val="InternetLink"/>
                  <w:sz w:val="20"/>
                  <w:shd w:fill="CCEEFF" w:val="clear"/>
                </w:rPr>
                <w:t>Amended and Restated Memorandum and Articles of Association of Registrant (incorporated by reference to Exhibit 3.2 of our Registration Statement on Form F-1 (Registration No. 333-285108), as amended, initially filed with the Securities and Exchange Commission on February 21, 2025)</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030706201ex5-1.htm">
              <w:r>
                <w:rPr>
                  <w:rStyle w:val="InternetLink"/>
                  <w:sz w:val="20"/>
                </w:rPr>
                <w:t>Opinion of Ogier</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706201ex10-1.htm">
              <w:r>
                <w:rPr>
                  <w:rStyle w:val="InternetLink"/>
                  <w:sz w:val="20"/>
                </w:rPr>
                <w:t>Equity Incentive Plan of the Registrant</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030706201ex23-1.htm">
              <w:r>
                <w:rPr>
                  <w:rStyle w:val="InternetLink"/>
                  <w:sz w:val="20"/>
                </w:rPr>
                <w:t>Consent of MaloneBailey, LLP</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706201ex23-2.htm">
              <w:r>
                <w:rPr>
                  <w:rStyle w:val="InternetLink"/>
                  <w:sz w:val="20"/>
                </w:rPr>
                <w:t>Consent of ZH CPA, LLC</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030706201ex5-1.htm">
              <w:r>
                <w:rPr>
                  <w:rStyle w:val="InternetLink"/>
                  <w:sz w:val="20"/>
                </w:rPr>
                <w:t>Consent of Ogier (included in Exhibit 5.1)</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poa">
              <w:r>
                <w:rPr>
                  <w:rStyle w:val="InternetLink"/>
                  <w:sz w:val="20"/>
                </w:rPr>
                <w:t>Power of Attorney (included on signature page hereof)</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0307062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sz w:val="20"/>
              </w:rPr>
            </w:pPr>
            <w:r>
              <w:rPr>
                <w:sz w:val="20"/>
              </w:rPr>
              <w:t>(a)</w:t>
            </w:r>
          </w:p>
        </w:tc>
        <w:tc>
          <w:tcPr>
            <w:tcW w:w="3800"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20"/>
              </w:rPr>
            </w:pPr>
            <w:r>
              <w:rPr>
                <w:sz w:val="20"/>
              </w:rPr>
              <w:t>(1)</w:t>
            </w:r>
          </w:p>
        </w:tc>
        <w:tc>
          <w:tcPr>
            <w:tcW w:w="9886"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sz w:val="20"/>
              </w:rPr>
            </w:pPr>
            <w:r>
              <w:rPr>
                <w:sz w:val="20"/>
              </w:rPr>
              <w:t>(i)</w:t>
            </w:r>
          </w:p>
        </w:tc>
        <w:tc>
          <w:tcPr>
            <w:tcW w:w="9924" w:type="dxa"/>
            <w:tcBorders/>
            <w:vAlign w:val="center"/>
          </w:tcPr>
          <w:p>
            <w:pPr>
              <w:pStyle w:val="TableContents"/>
              <w:bidi w:val="0"/>
              <w:spacing w:before="0" w:after="283"/>
              <w:jc w:val="both"/>
              <w:rPr>
                <w:sz w:val="20"/>
              </w:rPr>
            </w:pPr>
            <w:r>
              <w:rPr>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p>
            <w:pPr>
              <w:pStyle w:val="TableContents"/>
              <w:bidi w:val="0"/>
              <w:spacing w:before="0" w:after="0"/>
              <w:ind w:left="0" w:right="0" w:hanging="0"/>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p>
            <w:pPr>
              <w:pStyle w:val="TableContents"/>
              <w:bidi w:val="0"/>
              <w:spacing w:before="0" w:after="0"/>
              <w:ind w:left="0" w:right="0" w:hanging="0"/>
              <w:jc w:val="left"/>
              <w:rPr>
                <w:caps w:val="false"/>
                <w:smallCaps w:val="false"/>
              </w:rPr>
            </w:pPr>
            <w:r>
              <w:rPr>
                <w:caps w:val="false"/>
                <w:smallCaps w:val="false"/>
              </w:rPr>
              <w:t> </w:t>
            </w:r>
          </w:p>
        </w:tc>
        <w:tc>
          <w:tcPr>
            <w:tcW w:w="9836"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of this section do not apply if the information required to be included in a post-effective amendment by those paragraphs is contained in reports filed with or furnished to the U.S. Securities and Exchange Commission by the registrant pursuant to Section 13 or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(2)</w:t>
            </w:r>
          </w:p>
        </w:tc>
        <w:tc>
          <w:tcPr>
            <w:tcW w:w="9935"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sz w:val="20"/>
              </w:rPr>
            </w:pPr>
            <w:r>
              <w:rPr>
                <w:sz w:val="20"/>
              </w:rPr>
              <w:t>(3)</w:t>
            </w:r>
          </w:p>
        </w:tc>
        <w:tc>
          <w:tcPr>
            <w:tcW w:w="9935"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sz w:val="20"/>
              </w:rPr>
            </w:pPr>
            <w:r>
              <w:rPr>
                <w:sz w:val="20"/>
              </w:rPr>
              <w:t>(4)</w:t>
            </w:r>
          </w:p>
        </w:tc>
        <w:tc>
          <w:tcPr>
            <w:tcW w:w="9935" w:type="dxa"/>
            <w:tcBorders/>
            <w:vAlign w:val="center"/>
          </w:tcPr>
          <w:p>
            <w:pPr>
              <w:pStyle w:val="TableContents"/>
              <w:bidi w:val="0"/>
              <w:spacing w:before="0" w:after="283"/>
              <w:jc w:val="both"/>
              <w:rPr>
                <w:sz w:val="20"/>
              </w:rPr>
            </w:pPr>
            <w:r>
              <w:rPr>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(15 U.S.C. 77j(a)(3)) need not be furnished, provided that the issuer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tc>
      </w:tr>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sz w:val="20"/>
              </w:rPr>
            </w:pPr>
            <w:r>
              <w:rPr>
                <w:sz w:val="20"/>
              </w:rPr>
              <w:t>(5)</w:t>
            </w:r>
          </w:p>
        </w:tc>
        <w:tc>
          <w:tcPr>
            <w:tcW w:w="9935"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20"/>
              </w:rPr>
            </w:pPr>
            <w:r>
              <w:rPr>
                <w:sz w:val="20"/>
              </w:rPr>
              <w:t>(i)</w:t>
            </w:r>
          </w:p>
        </w:tc>
        <w:tc>
          <w:tcPr>
            <w:tcW w:w="9959" w:type="dxa"/>
            <w:tcBorders/>
            <w:vAlign w:val="center"/>
          </w:tcPr>
          <w:p>
            <w:pPr>
              <w:pStyle w:val="TableContents"/>
              <w:bidi w:val="0"/>
              <w:spacing w:before="0" w:after="283"/>
              <w:jc w:val="both"/>
              <w:rPr>
                <w:sz w:val="20"/>
              </w:rPr>
            </w:pPr>
            <w:r>
              <w:rPr>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20"/>
              </w:rPr>
            </w:pPr>
            <w:r>
              <w:rPr>
                <w:sz w:val="20"/>
              </w:rPr>
              <w:t>(ii)</w:t>
            </w:r>
          </w:p>
        </w:tc>
        <w:tc>
          <w:tcPr>
            <w:tcW w:w="9927" w:type="dxa"/>
            <w:tcBorders/>
            <w:vAlign w:val="center"/>
          </w:tcPr>
          <w:p>
            <w:pPr>
              <w:pStyle w:val="TableContents"/>
              <w:bidi w:val="0"/>
              <w:spacing w:before="0" w:after="283"/>
              <w:jc w:val="both"/>
              <w:rPr>
                <w:sz w:val="20"/>
              </w:rPr>
            </w:pPr>
            <w:r>
              <w:rPr>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i/>
                <w:sz w:val="20"/>
              </w:rPr>
              <w:t>Provided</w:t>
            </w:r>
            <w:r>
              <w:rPr>
                <w:sz w:val="20"/>
              </w:rPr>
              <w:t>, </w:t>
            </w:r>
            <w:r>
              <w:rPr>
                <w:i/>
                <w:sz w:val="20"/>
              </w:rPr>
              <w:t>however</w:t>
            </w:r>
            <w:r>
              <w:rPr>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(6)</w:t>
            </w:r>
          </w:p>
        </w:tc>
        <w:tc>
          <w:tcPr>
            <w:tcW w:w="9935"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w:t>
            </w:r>
          </w:p>
        </w:tc>
        <w:tc>
          <w:tcPr>
            <w:tcW w:w="9838" w:type="dxa"/>
            <w:tcBorders/>
            <w:vAlign w:val="center"/>
          </w:tcPr>
          <w:p>
            <w:pPr>
              <w:pStyle w:val="TableContents"/>
              <w:bidi w:val="0"/>
              <w:spacing w:before="0" w:after="283"/>
              <w:jc w:val="both"/>
              <w:rPr>
                <w:sz w:val="20"/>
              </w:rPr>
            </w:pPr>
            <w:r>
              <w:rPr>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w:t>
            </w:r>
          </w:p>
        </w:tc>
        <w:tc>
          <w:tcPr>
            <w:tcW w:w="9838" w:type="dxa"/>
            <w:tcBorders/>
            <w:vAlign w:val="center"/>
          </w:tcPr>
          <w:p>
            <w:pPr>
              <w:pStyle w:val="TableContents"/>
              <w:bidi w:val="0"/>
              <w:spacing w:before="0" w:after="283"/>
              <w:jc w:val="both"/>
              <w:rPr>
                <w:sz w:val="20"/>
              </w:rPr>
            </w:pPr>
            <w:r>
              <w:rPr>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(iii)</w:t>
            </w:r>
          </w:p>
        </w:tc>
        <w:tc>
          <w:tcPr>
            <w:tcW w:w="9838" w:type="dxa"/>
            <w:tcBorders/>
            <w:vAlign w:val="center"/>
          </w:tcPr>
          <w:p>
            <w:pPr>
              <w:pStyle w:val="TableContents"/>
              <w:bidi w:val="0"/>
              <w:spacing w:before="0" w:after="283"/>
              <w:jc w:val="both"/>
              <w:rPr>
                <w:sz w:val="20"/>
              </w:rPr>
            </w:pPr>
            <w:r>
              <w:rPr>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(iv)</w:t>
            </w:r>
          </w:p>
        </w:tc>
        <w:tc>
          <w:tcPr>
            <w:tcW w:w="9838" w:type="dxa"/>
            <w:tcBorders/>
            <w:vAlign w:val="center"/>
          </w:tcPr>
          <w:p>
            <w:pPr>
              <w:pStyle w:val="TableContents"/>
              <w:bidi w:val="0"/>
              <w:spacing w:before="0" w:after="283"/>
              <w:jc w:val="both"/>
              <w:rPr>
                <w:sz w:val="20"/>
              </w:rPr>
            </w:pPr>
            <w:r>
              <w:rPr>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(b)</w:t>
            </w:r>
          </w:p>
        </w:tc>
        <w:tc>
          <w:tcPr>
            <w:tcW w:w="9999" w:type="dxa"/>
            <w:tcBorders/>
            <w:vAlign w:val="center"/>
          </w:tcPr>
          <w:p>
            <w:pPr>
              <w:pStyle w:val="TableContents"/>
              <w:bidi w:val="0"/>
              <w:spacing w:before="0" w:after="283"/>
              <w:jc w:val="both"/>
              <w:rPr>
                <w:sz w:val="20"/>
              </w:rPr>
            </w:pPr>
            <w:r>
              <w:rPr>
                <w:sz w:val="20"/>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(c)</w:t>
            </w:r>
          </w:p>
        </w:tc>
        <w:tc>
          <w:tcPr>
            <w:tcW w:w="9999"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Singapore, on September 30, 2026.</w:t>
      </w:r>
    </w:p>
    <w:p>
      <w:pPr>
        <w:pStyle w:val="TextBody"/>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b/>
                <w:sz w:val="20"/>
              </w:rPr>
            </w:pPr>
            <w:r>
              <w:rPr>
                <w:b/>
                <w:sz w:val="20"/>
              </w:rPr>
              <w:t>BGIN BLOCKCHAIN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Qingfeng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05" w:type="dxa"/>
            <w:tcBorders/>
            <w:vAlign w:val="center"/>
          </w:tcPr>
          <w:p>
            <w:pPr>
              <w:pStyle w:val="TableContents"/>
              <w:bidi w:val="0"/>
              <w:spacing w:before="0" w:after="283"/>
              <w:jc w:val="left"/>
              <w:rPr>
                <w:sz w:val="20"/>
              </w:rPr>
            </w:pPr>
            <w:r>
              <w:rPr>
                <w:sz w:val="20"/>
              </w:rPr>
              <w:t>Qingfeng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05" w:type="dxa"/>
            <w:tcBorders/>
            <w:vAlign w:val="center"/>
          </w:tcPr>
          <w:p>
            <w:pPr>
              <w:pStyle w:val="TableContents"/>
              <w:bidi w:val="0"/>
              <w:spacing w:before="0" w:after="283"/>
              <w:jc w:val="left"/>
              <w:rPr>
                <w:sz w:val="20"/>
              </w:rPr>
            </w:pPr>
            <w:r>
              <w:rPr>
                <w:sz w:val="20"/>
              </w:rPr>
              <w:t>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Qingfeng Wu and Qiuhua Li, and each of them, individually, his true and lawful attorneys-in-fact and agents, with full power of substitution and re-substitution, in his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9180" w:type="dxa"/>
        <w:jc w:val="left"/>
        <w:tblInd w:w="0" w:type="dxa"/>
        <w:tblLayout w:type="fixed"/>
        <w:tblCellMar>
          <w:top w:w="0" w:type="dxa"/>
          <w:left w:w="0" w:type="dxa"/>
          <w:bottom w:w="28" w:type="dxa"/>
          <w:right w:w="0" w:type="dxa"/>
        </w:tblCellMar>
      </w:tblPr>
      <w:tblGrid>
        <w:gridCol w:w="2630"/>
        <w:gridCol w:w="60"/>
        <w:gridCol w:w="4775"/>
        <w:gridCol w:w="60"/>
        <w:gridCol w:w="1655"/>
      </w:tblGrid>
      <w:tr>
        <w:trPr/>
        <w:tc>
          <w:tcPr>
            <w:tcW w:w="2630" w:type="dxa"/>
            <w:tcBorders>
              <w:bottom w:val="single" w:sz="12"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775"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630" w:type="dxa"/>
            <w:tcBorders>
              <w:bottom w:val="single" w:sz="12" w:space="0" w:color="000000"/>
            </w:tcBorders>
            <w:vAlign w:val="center"/>
          </w:tcPr>
          <w:p>
            <w:pPr>
              <w:pStyle w:val="TableContents"/>
              <w:bidi w:val="0"/>
              <w:spacing w:before="0" w:after="283"/>
              <w:jc w:val="left"/>
              <w:rPr>
                <w:sz w:val="20"/>
              </w:rPr>
            </w:pPr>
            <w:r>
              <w:rPr>
                <w:sz w:val="20"/>
              </w:rPr>
              <w:t>/s/ Qiuhua Li</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Executive Chairman of the Board of Directors and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30, 2026</w:t>
            </w:r>
          </w:p>
        </w:tc>
      </w:tr>
      <w:tr>
        <w:trPr/>
        <w:tc>
          <w:tcPr>
            <w:tcW w:w="2630" w:type="dxa"/>
            <w:tcBorders/>
            <w:tcMar>
              <w:bottom w:w="0" w:type="dxa"/>
            </w:tcMar>
            <w:vAlign w:val="center"/>
          </w:tcPr>
          <w:p>
            <w:pPr>
              <w:pStyle w:val="TableContents"/>
              <w:bidi w:val="0"/>
              <w:spacing w:before="0" w:after="283"/>
              <w:jc w:val="both"/>
              <w:rPr>
                <w:sz w:val="20"/>
              </w:rPr>
            </w:pPr>
            <w:r>
              <w:rPr>
                <w:sz w:val="20"/>
              </w:rPr>
              <w:t>Name: Qiuhua Li</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12" w:space="0" w:color="000000"/>
            </w:tcBorders>
            <w:vAlign w:val="center"/>
          </w:tcPr>
          <w:p>
            <w:pPr>
              <w:pStyle w:val="TableContents"/>
              <w:bidi w:val="0"/>
              <w:spacing w:before="0" w:after="283"/>
              <w:jc w:val="left"/>
              <w:rPr>
                <w:sz w:val="20"/>
              </w:rPr>
            </w:pPr>
            <w:r>
              <w:rPr>
                <w:sz w:val="20"/>
              </w:rPr>
              <w:t>/s/ Qingfeng Wu</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30, 2026</w:t>
            </w:r>
          </w:p>
        </w:tc>
      </w:tr>
      <w:tr>
        <w:trPr/>
        <w:tc>
          <w:tcPr>
            <w:tcW w:w="2630" w:type="dxa"/>
            <w:tcBorders/>
            <w:tcMar>
              <w:bottom w:w="0" w:type="dxa"/>
            </w:tcMar>
            <w:vAlign w:val="center"/>
          </w:tcPr>
          <w:p>
            <w:pPr>
              <w:pStyle w:val="TableContents"/>
              <w:bidi w:val="0"/>
              <w:spacing w:before="0" w:after="283"/>
              <w:jc w:val="both"/>
              <w:rPr>
                <w:sz w:val="20"/>
              </w:rPr>
            </w:pPr>
            <w:r>
              <w:rPr>
                <w:sz w:val="20"/>
              </w:rPr>
              <w:t>Name: Qingfeng Wu</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12" w:space="0" w:color="000000"/>
            </w:tcBorders>
            <w:vAlign w:val="center"/>
          </w:tcPr>
          <w:p>
            <w:pPr>
              <w:pStyle w:val="TableContents"/>
              <w:bidi w:val="0"/>
              <w:spacing w:before="0" w:after="283"/>
              <w:jc w:val="left"/>
              <w:rPr>
                <w:sz w:val="20"/>
              </w:rPr>
            </w:pPr>
            <w:r>
              <w:rPr>
                <w:sz w:val="20"/>
              </w:rPr>
              <w:t>/s/ Zhao Xiang</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Co-Chief Financial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30, 2026</w:t>
            </w:r>
          </w:p>
        </w:tc>
      </w:tr>
      <w:tr>
        <w:trPr/>
        <w:tc>
          <w:tcPr>
            <w:tcW w:w="2630" w:type="dxa"/>
            <w:tcBorders/>
            <w:tcMar>
              <w:bottom w:w="0" w:type="dxa"/>
            </w:tcMar>
            <w:vAlign w:val="center"/>
          </w:tcPr>
          <w:p>
            <w:pPr>
              <w:pStyle w:val="TableContents"/>
              <w:bidi w:val="0"/>
              <w:spacing w:before="0" w:after="283"/>
              <w:jc w:val="both"/>
              <w:rPr>
                <w:sz w:val="20"/>
              </w:rPr>
            </w:pPr>
            <w:r>
              <w:rPr>
                <w:sz w:val="20"/>
              </w:rPr>
              <w:t>Name: Zhao Xiang</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(Principal Accounting and Financial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12" w:space="0" w:color="000000"/>
            </w:tcBorders>
            <w:vAlign w:val="center"/>
          </w:tcPr>
          <w:p>
            <w:pPr>
              <w:pStyle w:val="TableContents"/>
              <w:bidi w:val="0"/>
              <w:spacing w:before="0" w:after="283"/>
              <w:jc w:val="left"/>
              <w:rPr>
                <w:sz w:val="20"/>
              </w:rPr>
            </w:pPr>
            <w:r>
              <w:rPr>
                <w:sz w:val="20"/>
              </w:rPr>
              <w:t>/s/ Boquan He</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30, 2026</w:t>
            </w:r>
          </w:p>
        </w:tc>
      </w:tr>
      <w:tr>
        <w:trPr/>
        <w:tc>
          <w:tcPr>
            <w:tcW w:w="2630" w:type="dxa"/>
            <w:tcBorders/>
            <w:tcMar>
              <w:bottom w:w="0" w:type="dxa"/>
            </w:tcMar>
            <w:vAlign w:val="center"/>
          </w:tcPr>
          <w:p>
            <w:pPr>
              <w:pStyle w:val="TableContents"/>
              <w:bidi w:val="0"/>
              <w:spacing w:before="0" w:after="283"/>
              <w:jc w:val="both"/>
              <w:rPr>
                <w:sz w:val="20"/>
              </w:rPr>
            </w:pPr>
            <w:r>
              <w:rPr>
                <w:sz w:val="20"/>
              </w:rPr>
              <w:t>Name: Boquan He</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12" w:space="0" w:color="000000"/>
            </w:tcBorders>
            <w:vAlign w:val="center"/>
          </w:tcPr>
          <w:p>
            <w:pPr>
              <w:pStyle w:val="TableContents"/>
              <w:bidi w:val="0"/>
              <w:spacing w:before="0" w:after="283"/>
              <w:jc w:val="left"/>
              <w:rPr>
                <w:sz w:val="20"/>
              </w:rPr>
            </w:pPr>
            <w:r>
              <w:rPr>
                <w:sz w:val="20"/>
              </w:rPr>
              <w:t>/s/ Chung Shing Paul Tsang</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30, 2026</w:t>
            </w:r>
          </w:p>
        </w:tc>
      </w:tr>
      <w:tr>
        <w:trPr/>
        <w:tc>
          <w:tcPr>
            <w:tcW w:w="2630" w:type="dxa"/>
            <w:tcBorders/>
            <w:tcMar>
              <w:bottom w:w="0" w:type="dxa"/>
            </w:tcMar>
            <w:vAlign w:val="center"/>
          </w:tcPr>
          <w:p>
            <w:pPr>
              <w:pStyle w:val="TableContents"/>
              <w:bidi w:val="0"/>
              <w:spacing w:before="0" w:after="283"/>
              <w:jc w:val="left"/>
              <w:rPr>
                <w:sz w:val="20"/>
              </w:rPr>
            </w:pPr>
            <w:r>
              <w:rPr>
                <w:sz w:val="20"/>
              </w:rPr>
              <w:t>Name: Chung Shing Paul Tsang</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12" w:space="0" w:color="000000"/>
            </w:tcBorders>
            <w:vAlign w:val="center"/>
          </w:tcPr>
          <w:p>
            <w:pPr>
              <w:pStyle w:val="TableContents"/>
              <w:bidi w:val="0"/>
              <w:spacing w:before="0" w:after="283"/>
              <w:jc w:val="left"/>
              <w:rPr>
                <w:sz w:val="20"/>
              </w:rPr>
            </w:pPr>
            <w:r>
              <w:rPr>
                <w:sz w:val="20"/>
              </w:rPr>
              <w:t>/s/ Talila Millman</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30, 2026</w:t>
            </w:r>
          </w:p>
        </w:tc>
      </w:tr>
      <w:tr>
        <w:trPr/>
        <w:tc>
          <w:tcPr>
            <w:tcW w:w="2630" w:type="dxa"/>
            <w:tcBorders/>
            <w:tcMar>
              <w:bottom w:w="0" w:type="dxa"/>
            </w:tcMar>
            <w:vAlign w:val="center"/>
          </w:tcPr>
          <w:p>
            <w:pPr>
              <w:pStyle w:val="TableContents"/>
              <w:bidi w:val="0"/>
              <w:spacing w:before="0" w:after="283"/>
              <w:jc w:val="left"/>
              <w:rPr>
                <w:sz w:val="20"/>
              </w:rPr>
            </w:pPr>
            <w:r>
              <w:rPr>
                <w:sz w:val="20"/>
              </w:rPr>
              <w:t>Name: Talila Millman</w:t>
            </w:r>
          </w:p>
        </w:tc>
        <w:tc>
          <w:tcPr>
            <w:tcW w:w="60" w:type="dxa"/>
            <w:tcBorders/>
            <w:tcMar>
              <w:bottom w:w="0" w:type="dxa"/>
            </w:tcMar>
            <w:vAlign w:val="center"/>
          </w:tcPr>
          <w:p>
            <w:pPr>
              <w:pStyle w:val="TableContents"/>
              <w:bidi w:val="0"/>
              <w:spacing w:before="0" w:after="283"/>
              <w:jc w:val="left"/>
              <w:rPr/>
            </w:pPr>
            <w:r>
              <w:rPr/>
              <w:t> </w:t>
            </w:r>
          </w:p>
        </w:tc>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BGIN BLOCKCHAIN LIMITED, has signed this registration statement thereto in New York, New York on September 30, 2026.</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590"/>
        <w:gridCol w:w="4205"/>
      </w:tblGrid>
      <w:tr>
        <w:trPr/>
        <w:tc>
          <w:tcPr>
            <w:tcW w:w="75"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sz w:val="20"/>
              </w:rPr>
            </w:pPr>
            <w:r>
              <w:rPr>
                <w:sz w:val="20"/>
              </w:rPr>
              <w:t>Cogency Global Inc.</w:t>
              <w:br/>
              <w:t>Authorized U.S. Representative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42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4205" w:type="dxa"/>
            <w:tcBorders/>
            <w:vAlign w:val="center"/>
          </w:tcPr>
          <w:p>
            <w:pPr>
              <w:pStyle w:val="TableContents"/>
              <w:bidi w:val="0"/>
              <w:spacing w:before="0" w:after="283"/>
              <w:jc w:val="left"/>
              <w:rPr>
                <w:sz w:val="20"/>
              </w:rPr>
            </w:pPr>
            <w:r>
              <w:rPr>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Vice President on behalf of Cogency Global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3" w:name="ea030706201ex5-1.htm"/>
      <w:bookmarkStart w:id="4" w:name="ksea030706201ex51"/>
      <w:bookmarkEnd w:id="3"/>
      <w:bookmarkEnd w:id="4"/>
      <w:r>
        <w:rPr>
          <w:b/>
        </w:rPr>
        <w:t>Exhibit 5.1</w:t>
      </w:r>
      <w:r>
        <w:br w:type="page"/>
      </w:r>
    </w:p>
    <w:p>
      <w:pPr>
        <w:pStyle w:val="TextBody"/>
        <w:bidi w:val="0"/>
        <w:spacing w:before="0" w:after="283"/>
        <w:jc w:val="left"/>
        <w:rPr/>
      </w:pPr>
      <w:r>
        <w:rPr/>
        <w:t> </w:t>
      </w:r>
    </w:p>
    <w:tbl>
      <w:tblPr>
        <w:tblW w:w="5785" w:type="dxa"/>
        <w:jc w:val="left"/>
        <w:tblInd w:w="0" w:type="dxa"/>
        <w:tblLayout w:type="fixed"/>
        <w:tblCellMar>
          <w:top w:w="0" w:type="dxa"/>
          <w:left w:w="0" w:type="dxa"/>
          <w:bottom w:w="0" w:type="dxa"/>
          <w:right w:w="0" w:type="dxa"/>
        </w:tblCellMar>
      </w:tblPr>
      <w:tblGrid>
        <w:gridCol w:w="2645"/>
        <w:gridCol w:w="60"/>
        <w:gridCol w:w="3080"/>
      </w:tblGrid>
      <w:tr>
        <w:trPr/>
        <w:tc>
          <w:tcPr>
            <w:tcW w:w="2645"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Nexus Way, Camana Bay,</w:t>
              <w:br/>
              <w:t>Grand Cayman KY1-9009,</w:t>
              <w:br/>
              <w:t>Cayman Islands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rPr>
            </w:pPr>
            <w:r>
              <w:rPr>
                <w:b/>
              </w:rPr>
              <w:t>D  </w:t>
            </w:r>
            <w:r>
              <w:rPr>
                <w:rFonts w:ascii="Times New Roman;Times;Serif" w:hAnsi="Times New Roman;Times;Serif"/>
                <w:b/>
              </w:rPr>
              <w:t>+1 345 815 1877</w:t>
            </w:r>
          </w:p>
        </w:tc>
      </w:tr>
      <w:tr>
        <w:trPr/>
        <w:tc>
          <w:tcPr>
            <w:tcW w:w="26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rPr>
            </w:pPr>
            <w:r>
              <w:rPr>
                <w:b/>
              </w:rPr>
              <w:t>E  </w:t>
            </w:r>
            <w:r>
              <w:rPr>
                <w:rFonts w:ascii="Times New Roman;Times;Serif" w:hAnsi="Times New Roman;Times;Serif"/>
                <w:b/>
              </w:rPr>
              <w:t>bradley.kruger@ogier.com</w:t>
            </w:r>
          </w:p>
        </w:tc>
      </w:tr>
      <w:tr>
        <w:trPr/>
        <w:tc>
          <w:tcPr>
            <w:tcW w:w="26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6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Reference: 502170.00001</w:t>
            </w:r>
          </w:p>
        </w:tc>
      </w:tr>
      <w:tr>
        <w:trPr/>
        <w:tc>
          <w:tcPr>
            <w:tcW w:w="26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29 September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Company’s registration statement on Form S-8,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The Registration Statement relates to the registration of Class A ordinary shares of par value US$0.0000695652173913043 each in the capital of the Company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that may be issued pursuant to the BGIN BLOCKCHAIN LIMITED Equity Incentive Plan (the </w:t>
      </w:r>
      <w:r>
        <w:rPr>
          <w:rFonts w:ascii="Times New Roman;Times;Serif" w:hAnsi="Times New Roman;Times;Serif"/>
          <w:b/>
          <w:i w:val="false"/>
          <w:caps w:val="false"/>
          <w:smallCaps w:val="false"/>
          <w:sz w:val="20"/>
        </w:rPr>
        <w:t>Incentive Plan</w:t>
      </w:r>
      <w:r>
        <w:rPr>
          <w:rFonts w:ascii="Times New Roman;Times;Serif" w:hAnsi="Times New Roman;Times;Serif"/>
          <w:b w:val="false"/>
          <w:i w:val="false"/>
          <w:caps w:val="false"/>
          <w:smallCaps w:val="false"/>
          <w:sz w:val="20"/>
        </w:rPr>
        <w:t xml:space="preserve">). The maximum aggregate number of Ordinary Shares that may be issued under the Incentive Plan is 9,000,000 Ordinary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630"/>
        <w:gridCol w:w="9405"/>
      </w:tblGrid>
      <w:tr>
        <w:trPr/>
        <w:tc>
          <w:tcPr>
            <w:tcW w:w="17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1</w:t>
            </w:r>
          </w:p>
        </w:tc>
        <w:tc>
          <w:tcPr>
            <w:tcW w:w="9405" w:type="dxa"/>
            <w:tcBorders/>
            <w:vAlign w:val="center"/>
          </w:tcPr>
          <w:p>
            <w:pPr>
              <w:pStyle w:val="TableContents"/>
              <w:bidi w:val="0"/>
              <w:spacing w:before="0" w:after="283"/>
              <w:jc w:val="both"/>
              <w:rPr/>
            </w:pPr>
            <w:r>
              <w:rPr/>
              <w:t>Documents examined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the corporate and other documents and conducted the searches listed in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2</w:t>
            </w:r>
          </w:p>
        </w:tc>
        <w:tc>
          <w:tcPr>
            <w:tcW w:w="8947" w:type="dxa"/>
            <w:tcBorders/>
            <w:vAlign w:val="center"/>
          </w:tcPr>
          <w:p>
            <w:pPr>
              <w:pStyle w:val="TableContents"/>
              <w:bidi w:val="0"/>
              <w:spacing w:before="0" w:after="283"/>
              <w:jc w:val="both"/>
              <w:rPr/>
            </w:pPr>
            <w:r>
              <w:rPr/>
              <w:t>Assumptions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bdr w:val="single" w:sz="12" w:space="1" w:color="000000"/>
        </w:rPr>
      </w:pPr>
      <w:r>
        <w:rPr>
          <w:bdr w:val="single" w:sz="12" w:space="1" w:color="000000"/>
        </w:rPr>
        <w:t>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September 2026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pPr>
            <w:r>
              <w:rPr/>
              <w:t>3</w:t>
            </w:r>
          </w:p>
        </w:tc>
        <w:tc>
          <w:tcPr>
            <w:tcW w:w="8528" w:type="dxa"/>
            <w:tcBorders/>
            <w:vAlign w:val="center"/>
          </w:tcPr>
          <w:p>
            <w:pPr>
              <w:pStyle w:val="TableContents"/>
              <w:bidi w:val="0"/>
              <w:spacing w:before="0" w:after="283"/>
              <w:jc w:val="both"/>
              <w:rPr/>
            </w:pPr>
            <w:r>
              <w:rPr/>
              <w:t>Opinions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 xml:space="preserve">The Company has been duly incorporated as an exempted company with limited liability and is validly existing and in good standing with the Registrar of Companies of the Cayman Islands (the </w:t>
            </w:r>
            <w:r>
              <w:rPr>
                <w:b/>
              </w:rPr>
              <w:t>Registrar</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power</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Company has all requisite power under its Memorandum and Articles of Association to issue the Shares (including the issuance of the Shares upon the conversion or exercise of Awards (as defined in the Incentive Plan) in accordance with the terms of the Incentive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authorisation</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40"/>
        <w:gridCol w:w="9819"/>
      </w:tblGrid>
      <w:tr>
        <w:trPr/>
        <w:tc>
          <w:tcPr>
            <w:tcW w:w="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(c)</w:t>
            </w:r>
          </w:p>
        </w:tc>
        <w:tc>
          <w:tcPr>
            <w:tcW w:w="9819" w:type="dxa"/>
            <w:tcBorders/>
            <w:vAlign w:val="center"/>
          </w:tcPr>
          <w:p>
            <w:pPr>
              <w:pStyle w:val="TableContents"/>
              <w:bidi w:val="0"/>
              <w:spacing w:before="0" w:after="283"/>
              <w:jc w:val="both"/>
              <w:rPr/>
            </w:pPr>
            <w:r>
              <w:rPr/>
              <w:t>The Company has taken all requisite corporate action to approve the Incentive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The Shares to be offered and issued by the Company as contemplated by the Registration Statement (including the issuance of the Shares upon conversion or exercise of any Award) shall be validly issued, fully paid and non-assessable when:</w:t>
            </w:r>
          </w:p>
        </w:tc>
      </w:tr>
    </w:tbl>
    <w:p>
      <w:pPr>
        <w:pStyle w:val="TextBody"/>
        <w:bidi w:val="0"/>
        <w:spacing w:before="0" w:after="0"/>
        <w:ind w:left="2160"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 xml:space="preserve">the board of directors of the Company (the </w:t>
            </w:r>
            <w:r>
              <w:rPr>
                <w:b/>
              </w:rPr>
              <w:t>Board</w:t>
            </w:r>
            <w:r>
              <w:rPr/>
              <w:t>) or a duly authorised committee thereof (including the Committee as defined in the Incentive Plan) has taken all necessary corporate actions to approve:</w:t>
            </w:r>
          </w:p>
        </w:tc>
      </w:tr>
    </w:tbl>
    <w:p>
      <w:pPr>
        <w:pStyle w:val="TextBody"/>
        <w:bidi w:val="0"/>
        <w:spacing w:before="0" w:after="0"/>
        <w:ind w:left="2835"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the form, terms, execution and delivery of the relevant Award Agreements (as defined in the Incentive Plan);</w:t>
            </w:r>
          </w:p>
        </w:tc>
      </w:tr>
    </w:tbl>
    <w:p>
      <w:pPr>
        <w:pStyle w:val="TextBody"/>
        <w:bidi w:val="0"/>
        <w:spacing w:before="0" w:after="0"/>
        <w:ind w:left="2835"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 xml:space="preserve">the issuance and allotment of the Shares (including the issuance of the Shares upon the conversion or exercise of any Award) in accordance with the Incentive Plan and the relevant Award Agreements (together, the </w:t>
            </w:r>
            <w:r>
              <w:rPr>
                <w:b/>
              </w:rPr>
              <w:t>Incentive Documents</w:t>
            </w:r>
            <w:r>
              <w:rPr/>
              <w:t>); and</w:t>
            </w:r>
          </w:p>
        </w:tc>
      </w:tr>
    </w:tbl>
    <w:p>
      <w:pPr>
        <w:pStyle w:val="TextBody"/>
        <w:bidi w:val="0"/>
        <w:spacing w:before="0" w:after="0"/>
        <w:ind w:left="2835"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615"/>
        <w:gridCol w:w="8408"/>
      </w:tblGrid>
      <w:tr>
        <w:trPr/>
        <w:tc>
          <w:tcPr>
            <w:tcW w:w="18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pPr>
            <w:r>
              <w:rPr/>
              <w:t>(C)</w:t>
            </w:r>
          </w:p>
        </w:tc>
        <w:tc>
          <w:tcPr>
            <w:tcW w:w="8408" w:type="dxa"/>
            <w:tcBorders/>
            <w:vAlign w:val="center"/>
          </w:tcPr>
          <w:p>
            <w:pPr>
              <w:pStyle w:val="TableContents"/>
              <w:bidi w:val="0"/>
              <w:spacing w:before="0" w:after="283"/>
              <w:jc w:val="both"/>
              <w:rPr/>
            </w:pPr>
            <w:r>
              <w:rPr/>
              <w:t>all related matters;</w:t>
            </w:r>
          </w:p>
        </w:tc>
      </w:tr>
    </w:tbl>
    <w:p>
      <w:pPr>
        <w:pStyle w:val="TextBody"/>
        <w:bidi w:val="0"/>
        <w:spacing w:before="0" w:after="0"/>
        <w:ind w:left="2160"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8"/>
        <w:gridCol w:w="3122"/>
        <w:gridCol w:w="6675"/>
      </w:tblGrid>
      <w:tr>
        <w:trPr/>
        <w:tc>
          <w:tcPr>
            <w:tcW w:w="408"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pPr>
            <w:r>
              <w:rPr/>
              <w:t>(ii)</w:t>
            </w:r>
          </w:p>
        </w:tc>
        <w:tc>
          <w:tcPr>
            <w:tcW w:w="6675" w:type="dxa"/>
            <w:tcBorders/>
            <w:vAlign w:val="center"/>
          </w:tcPr>
          <w:p>
            <w:pPr>
              <w:pStyle w:val="TableContents"/>
              <w:bidi w:val="0"/>
              <w:spacing w:before="0" w:after="283"/>
              <w:jc w:val="both"/>
              <w:rPr/>
            </w:pPr>
            <w:r>
              <w:rPr/>
              <w:t>either:</w:t>
            </w:r>
          </w:p>
        </w:tc>
      </w:tr>
    </w:tbl>
    <w:p>
      <w:pPr>
        <w:pStyle w:val="TextBody"/>
        <w:bidi w:val="0"/>
        <w:spacing w:before="0" w:after="0"/>
        <w:ind w:left="2835"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9863" w:type="dxa"/>
            <w:tcBorders/>
            <w:vAlign w:val="center"/>
          </w:tcPr>
          <w:p>
            <w:pPr>
              <w:pStyle w:val="TableContents"/>
              <w:bidi w:val="0"/>
              <w:spacing w:before="0" w:after="283"/>
              <w:jc w:val="both"/>
              <w:rPr/>
            </w:pPr>
            <w:r>
              <w:rPr/>
              <w:t>the terms of the relevant Incentive Documents approved by the Board or the Committee (as applicable) have been satisfied and payment of the consideration specified therein (being not less than the par value of the Shares) has been made; or</w:t>
            </w:r>
          </w:p>
        </w:tc>
      </w:tr>
    </w:tbl>
    <w:p>
      <w:pPr>
        <w:pStyle w:val="TextBody"/>
        <w:bidi w:val="0"/>
        <w:spacing w:before="0" w:after="0"/>
        <w:ind w:left="2835"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both"/>
              <w:rPr/>
            </w:pPr>
            <w:r>
              <w:rPr/>
              <w:t>if such Shares are issuable upon conversion, exchange, redemption, repurchase or exercise of any other Award, the terms of such Award, the Memorandum and Articles of Association or the instrument governing such Award, as approved by the Board or the Committee (as applicable), have been satisfied and the consideration approved by the Board or the Committee (as applicable) (being not less than the par value of the Shares) received; and</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2160"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September 2026</w:t>
      </w:r>
    </w:p>
    <w:p>
      <w:pPr>
        <w:pStyle w:val="TextBody"/>
        <w:bidi w:val="0"/>
        <w:spacing w:before="0" w:after="0"/>
        <w:ind w:left="2160"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valid entry has been made in the register of members of the Company reflecting such issuance of Shares as fully paid, in each case in accordance with the Memorandum and Articles of Association.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684"/>
        <w:gridCol w:w="9336"/>
      </w:tblGrid>
      <w:tr>
        <w:trPr/>
        <w:tc>
          <w:tcPr>
            <w:tcW w:w="1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both"/>
              <w:rPr/>
            </w:pPr>
            <w:r>
              <w:rPr/>
              <w:t>Matters not covered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1418"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Incentive Plan or the Registration Statement to statutes, rules, regulations, codes or judicial authority of any jurisdiction other than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as to whether the acceptance, execution or performance of the Company’s obligations under the documents reviewed by us will result in the breach of or infringe any other agreement, deed or document (other than, to the extent expressly provided herein, the Memorandum and Articles of Association) entered into by or binding on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1439"/>
        <w:gridCol w:w="8376"/>
      </w:tblGrid>
      <w:tr>
        <w:trPr/>
        <w:tc>
          <w:tcPr>
            <w:tcW w:w="39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pPr>
            <w:r>
              <w:rPr/>
              <w:t>6</w:t>
            </w:r>
          </w:p>
        </w:tc>
        <w:tc>
          <w:tcPr>
            <w:tcW w:w="8376" w:type="dxa"/>
            <w:tcBorders/>
            <w:vAlign w:val="center"/>
          </w:tcPr>
          <w:p>
            <w:pPr>
              <w:pStyle w:val="TableContents"/>
              <w:bidi w:val="0"/>
              <w:spacing w:before="0" w:after="283"/>
              <w:jc w:val="both"/>
              <w:rPr/>
            </w:pPr>
            <w:r>
              <w:rPr/>
              <w:t>Consent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the giving of our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Ogier (Cayman) LLP</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 (Cayman) LLP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September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 xml:space="preserve">The Certificate of Incorporation of the Company dated 23 March 2022 issued by the Registrar (the </w:t>
            </w:r>
            <w:r>
              <w:rPr>
                <w:b/>
              </w:rPr>
              <w:t>Certificate of Incorporation</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amended and restated memorandum and articles of association of the Company adopted by special resolution passed on 3 October 2025 (the </w:t>
            </w:r>
            <w:r>
              <w:rPr>
                <w:b/>
              </w:rPr>
              <w:t>Memorandum and Articles of Association</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A Certificate of Good Standing dated 25 September 2026 (the </w:t>
            </w:r>
            <w:r>
              <w:rPr>
                <w:b/>
              </w:rPr>
              <w:t>Good Standing Certificate</w:t>
            </w:r>
            <w:r>
              <w:rPr/>
              <w:t>) issued by the Registrar in respect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 xml:space="preserve">A certificate dated on the date hereof as to certain matters of fact signed by a director of the Company in the form annexed hereto (the </w:t>
            </w:r>
            <w:r>
              <w:rPr>
                <w:b/>
              </w:rPr>
              <w:t>Director’s Certificate</w:t>
            </w:r>
            <w:r>
              <w:rPr/>
              <w:t xml:space="preserve">), having attached to it a copy of the written resolutions of the board of directors of the Company dated 17 September 2026 and 29 September 2026 (the </w:t>
            </w:r>
            <w:r>
              <w:rPr>
                <w:b/>
              </w:rPr>
              <w:t>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 xml:space="preserve">The Register of Writs at the office of the Clerk of Courts in the Cayman Islands as inspected by us on 29 September 2026 (the </w:t>
            </w:r>
            <w:r>
              <w:rPr>
                <w:b/>
              </w:rPr>
              <w:t>Register of Writs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503"/>
        <w:gridCol w:w="9566"/>
      </w:tblGrid>
      <w:tr>
        <w:trPr/>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6</w:t>
            </w:r>
          </w:p>
        </w:tc>
        <w:tc>
          <w:tcPr>
            <w:tcW w:w="9566" w:type="dxa"/>
            <w:tcBorders/>
            <w:vAlign w:val="center"/>
          </w:tcPr>
          <w:p>
            <w:pPr>
              <w:pStyle w:val="TableContents"/>
              <w:bidi w:val="0"/>
              <w:spacing w:before="0" w:after="283"/>
              <w:jc w:val="both"/>
              <w:rPr/>
            </w:pPr>
            <w:r>
              <w:rPr/>
              <w:t>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694"/>
        <w:gridCol w:w="9323"/>
      </w:tblGrid>
      <w:tr>
        <w:trPr/>
        <w:tc>
          <w:tcPr>
            <w:tcW w:w="18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pPr>
            <w:r>
              <w:rPr/>
              <w:t>7</w:t>
            </w:r>
          </w:p>
        </w:tc>
        <w:tc>
          <w:tcPr>
            <w:tcW w:w="9323" w:type="dxa"/>
            <w:tcBorders/>
            <w:vAlign w:val="center"/>
          </w:tcPr>
          <w:p>
            <w:pPr>
              <w:pStyle w:val="TableContents"/>
              <w:bidi w:val="0"/>
              <w:spacing w:before="0" w:after="283"/>
              <w:jc w:val="both"/>
              <w:rPr/>
            </w:pPr>
            <w:r>
              <w:rPr/>
              <w:t>The Incentive Plan.</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September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Each of the Good Standing Certificate and the Director’s Certificate is accurate and complete as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Where the Incentive Plan or Registration Statement has been provided to us in draft or undated form, that document has been executed by all parties and approved in materially the form provided to us and, where we have been provided with successive drafts of a document marked to show changes from a previous draft, all such changes have been accurately marked.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There will be no intervening circumstance relevant to this opinion between the date hereof and the date upon which the Shares are issued.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There is nothing in any law (other than the laws of the Cayman Islands) that would or might affect the opinions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Each of the parties to the Award Agreements shall, to the extent applicable, be duly incorporated, formed or organised (as applicable), validly existing and in good standing under all relevant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The form and terms of the Award Agreements approved by the directors of the Company or the Committee (as applicable) shall comply with all applicable laws, the Memorandum and Articles of Association and the Incentive Plan.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Each Award Agreement will be duly authorised, executed and unconditionally delivered by or on behalf of all parties to it in accordance with all applicable laws, the Memorandum and Articles of Association and the Incentive Plan and each Award Agreement will constitute legal, valid and binding obligations of the parties, enforceable against the parties in accordance with its terms under all relevant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Any individuals who are parties to an Award Agreement, or who sign or have signed documents or give information on which we rely, have the legal capacity under all relevant laws (including the laws of the Cayman Islands) to enter into and perform their obligations under Award Agreements, sign such documents and give such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September 2026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In authorising the execution and delivery of the Award Agreements by the Company, the issue and allotment of the Shares, the exercise of its rights and performance of its obligations under the Incentive Documents, each of the directors of the Company and each member of the Committee (as applicable) has acted and will act in good faith with a view to the best interests of the Company and has exercised the standard of care, diligence and skill that is required of him or 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90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neither the execution or delivery of the Incentive Documents nor the exercise by any party to the Incentive Documents of its rights or the performance of its obligations under them contravene those laws or public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00"/>
        <w:gridCol w:w="9862"/>
      </w:tblGrid>
      <w:tr>
        <w:trPr/>
        <w:tc>
          <w:tcPr>
            <w:tcW w:w="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14</w:t>
            </w:r>
          </w:p>
        </w:tc>
        <w:tc>
          <w:tcPr>
            <w:tcW w:w="9862" w:type="dxa"/>
            <w:tcBorders/>
            <w:vAlign w:val="center"/>
          </w:tcPr>
          <w:p>
            <w:pPr>
              <w:pStyle w:val="TableContents"/>
              <w:bidi w:val="0"/>
              <w:spacing w:before="0" w:after="283"/>
              <w:jc w:val="both"/>
              <w:rPr/>
            </w:pPr>
            <w:r>
              <w:rPr/>
              <w:t>The Shares to be issued shall be issued at an issue price not less than the par value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91"/>
        <w:gridCol w:w="9872"/>
      </w:tblGrid>
      <w:tr>
        <w:trPr/>
        <w:tc>
          <w:tcPr>
            <w:tcW w:w="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15</w:t>
            </w:r>
          </w:p>
        </w:tc>
        <w:tc>
          <w:tcPr>
            <w:tcW w:w="9872" w:type="dxa"/>
            <w:tcBorders/>
            <w:vAlign w:val="center"/>
          </w:tcPr>
          <w:p>
            <w:pPr>
              <w:pStyle w:val="TableContents"/>
              <w:bidi w:val="0"/>
              <w:spacing w:before="0" w:after="283"/>
              <w:jc w:val="both"/>
              <w:rPr/>
            </w:pPr>
            <w:r>
              <w:rPr/>
              <w:t>The issue of any Shares will not result in the Company exceeding its authorised 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16</w:t>
            </w:r>
          </w:p>
        </w:tc>
        <w:tc>
          <w:tcPr>
            <w:tcW w:w="9908" w:type="dxa"/>
            <w:tcBorders/>
            <w:vAlign w:val="center"/>
          </w:tcPr>
          <w:p>
            <w:pPr>
              <w:pStyle w:val="TableContents"/>
              <w:bidi w:val="0"/>
              <w:spacing w:before="0" w:after="283"/>
              <w:jc w:val="both"/>
              <w:rPr/>
            </w:pPr>
            <w:r>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September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Under the Companies Act (Revised) of the Cayman Islands (</w:t>
            </w:r>
            <w:r>
              <w:rPr>
                <w:b/>
              </w:rPr>
              <w:t>Companies Act</w:t>
            </w:r>
            <w:r>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1"/>
        <w:gridCol w:w="10001"/>
      </w:tblGrid>
      <w:tr>
        <w:trPr/>
        <w:tc>
          <w:tcPr>
            <w:tcW w:w="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5"/>
        <w:gridCol w:w="9802"/>
      </w:tblGrid>
      <w:tr>
        <w:trPr/>
        <w:tc>
          <w:tcPr>
            <w:tcW w:w="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ind w:left="1418"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283"/>
        <w:jc w:val="left"/>
        <w:rPr/>
      </w:pPr>
      <w:r>
        <w:rPr/>
        <w:t> </w:t>
      </w:r>
    </w:p>
    <w:p>
      <w:pPr>
        <w:pStyle w:val="TextBody"/>
        <w:bidi w:val="0"/>
        <w:jc w:val="right"/>
        <w:rPr>
          <w:b/>
        </w:rPr>
      </w:pPr>
      <w:bookmarkStart w:id="5" w:name="ea030706201ex10-1.htm"/>
      <w:bookmarkStart w:id="6" w:name="ksea030706201ex101"/>
      <w:bookmarkEnd w:id="5"/>
      <w:bookmarkEnd w:id="6"/>
      <w:r>
        <w:rPr>
          <w:b/>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tab/>
        <w:t xml:space="preserve">Purpose.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BGIN BLOCKCHAIN LIMITED Equity Incentive Plan (as amended from time to time,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is to motivate and reward employees and other individuals to perform at the highest level and contribute significantly to the success of BGIN BLOCKCHAIN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together with its Subsidiaries (as defined below),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thereby furthering the best interests of the Company and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tab/>
        <w:t xml:space="preserve">Definitions.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terms shall have the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entity that, directly or indirectly through one or more intermediaries controls, is controlled by or is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any Option, Stock Appreciation Rights (SAR), Restricted Stock Awards (RSA), Restricted Stock Units (RSU), Performance Award, Other Cash-Based Award or Other Stock-Based Award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any agreement, contract or other instrument or document (including in electronic form) evidencing any Award granted under the Plan, which may, but need not, be executed or acknowledged by a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ascribed to such term in Rule 13d-3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Beneficiary</w:t>
      </w:r>
      <w:r>
        <w:rPr>
          <w:rFonts w:ascii="Times New Roman;Times;Serif" w:hAnsi="Times New Roman;Times;Serif"/>
          <w:b w:val="false"/>
          <w:i w:val="false"/>
          <w:caps w:val="false"/>
          <w:smallCaps w:val="false"/>
          <w:sz w:val="20"/>
        </w:rPr>
        <w:t>” means a Person entitled to receive payments or other benefits or exercise rights that are available under the Plan in the event of a Participant’s death. If no such Person can be named or is named by a Participant, or if no Beneficiary designated by a Participant is eligible to receive payments or other benefits or exercise rights that are available under the Plan at a Participant’s death, such Participant’s Beneficiary shall be such Participant’s estate.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is as defined in the Participant’s Service Agreement, if any, or if not so defined, means: (i) a material breach by the Participant of any agreement between the Participant and the Company or any member of the Group; (ii) a material failure by the Participant to comply with the Company or any member of the Group’s written policies or rules; (iii) the Participant commits any illegal act and is or is reasonably expected to be subject to any criminal punishment in any applicable jurisdiction; (iv) the Participant breaches any obligation that such Participant owes to the Company or any Subsidiary under any agreement, including the relevant Service Agreement, confidentiality or intellectual property rights assignment agreement, non-compete and non-solicitation agreement or this Plan or any exhibit hereof, as applicable, or (v) the Participant takes any other action that causes or may cause a material adverse effect on the Group’s business, reputation or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other than (A) any employee plan established by the Company or any Subsidiary, (B) the Company or any of its Affiliates, (C) an underwriter temporarily holding securities pursuant to an offering of such securities, or (D) an entity owned, directly or indirectly, by shareholders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total voting power of the stock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calculating total voting power under this subsection (i), the Company’s dual-class share structure shall be taken into account such that each Class A Ordinary Share and each Class B Ordinary Share shall be entitled to such number of votes per share as may be prescribed by the Company’s amended and restated memorandum and articles of association as in effect from time to time; and provided further that the provisions of this subsection (i) are not intended to apply to or include as a Change in Control any transaction that is specifically excepted from the definition of Change in Control under subsection (iii) below;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change in the composition of the Board such that, during any 12-month period, the individuals who, as of the beginning of such period, constitute the Board (the “</w:t>
      </w:r>
      <w:r>
        <w:rPr>
          <w:rFonts w:ascii="Times New Roman;Times;Serif" w:hAnsi="Times New Roman;Times;Serif"/>
          <w:b/>
          <w:i w:val="false"/>
          <w:caps w:val="false"/>
          <w:smallCaps w:val="false"/>
          <w:sz w:val="20"/>
        </w:rPr>
        <w:t>Existing Board</w:t>
      </w:r>
      <w:r>
        <w:rPr>
          <w:rFonts w:ascii="Times New Roman;Times;Serif" w:hAnsi="Times New Roman;Times;Serif"/>
          <w:b w:val="false"/>
          <w:i w:val="false"/>
          <w:caps w:val="false"/>
          <w:smallCaps w:val="false"/>
          <w:sz w:val="20"/>
        </w:rPr>
        <w:t>”) cease for any reason to constitute at least 50% of the Board;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individual becoming a member of the Board subsequent to the beginning of such period whose election, or nomination for election by the Company’s shareholders, was approved by a vote of at least a majority of the Directors immediately prior to the date of such appointment or election shall be considered as though such individual were a member of the Existing Board;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consummation of a merger, amalgamation or consolidation of the Company with any other corporation or other entity, or the issuance of voting securities in connection with such a transaction pursuant to applicable stock exchange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immediately following such transaction the voting securities of the Company outstanding immediately prior thereto do not continue to represent (either by remaining outstanding or by being converted into voting securities of the surviving entity of such transaction or parent entity thereof) 50% or more of the total voting power and total fair market value of the Company’s stock (or, if the Company is not the surviving entity of such merger or consolidation, 50% or more of the total voting power and total fair market value of the stock of such surviving entity or parent entity thereof);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Shares or the combined voting power and total fair market value of the Company’s then-outstanding voting securities shall not be considered a Change in Control;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50% of the total gross fair market value of all of the assets of the Company immediately prior to such acquisition or acquisitions.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and (B) no Change in Control shall be deemed to have occurred upon the acquisition of additional control of the Company by any Person that is considered to effectively control the Company. In no event will a Change in Control be deemed to have occurred if any Participant is part of a “group” within the meaning of Section 13(d)(3) of the Exchange Act that effects a Change in Control. Notwithstanding the foregoing or any provision of any Award Agreement to the contrary, for any Award that provides for accelerated distribution on a Change in Control of amounts that constitute “deferred compensation” (as defined in Section 409A of the Code), if the event that constitutes such Change in Control does not also constitute a change in the ownership or effective control of the Company, or in the ownership of a substantial portion of the Company’s assets (in either case, as defined in Section 409A of the Code),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Participant who holds such Award incurring interest or additional tax under Section 409A of the Code.</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means a Class A Ordinary Share of par value US$0.0000695652173913043 per share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Class B Ordinary Share</w:t>
      </w:r>
      <w:r>
        <w:rPr>
          <w:rFonts w:ascii="Times New Roman;Times;Serif" w:hAnsi="Times New Roman;Times;Serif"/>
          <w:b w:val="false"/>
          <w:i w:val="false"/>
          <w:caps w:val="false"/>
          <w:smallCaps w:val="false"/>
          <w:sz w:val="20"/>
        </w:rPr>
        <w:t>” means a Class B Ordinary Share of par value US$0.0000695652173913043 per share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regulations and guidance thereunder. Any reference to a provision in the Code shall include any successor provision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the compensation committee duly authorized and established by the Board, which committee shall be constituted in accordance with the Company’s amended and restated memorandum and articles of association and the Designated Stock Exchange Rules. If there is no such duly authorized committee of the Board, references herein to the “Committee” shall refer to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individual, including an advisor, who is providing services to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means Nasdaq Stock Market in the United States of America, for so long as the Shares are there listed, and any other stock exchange on which the Shares are listed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means the relevant code, rules and regulations, as amended, from time to time, as a result of the original and continued listing of any Shares on the Designated Stock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any member of the Board or the board of directors of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on which the Plan is adopted by the Board and, if applicable, approved by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individual, including any officer, employed on a full-time basis by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Employee Privacy Notice</w:t>
      </w:r>
      <w:r>
        <w:rPr>
          <w:rFonts w:ascii="Times New Roman;Times;Serif" w:hAnsi="Times New Roman;Times;Serif"/>
          <w:b w:val="false"/>
          <w:i w:val="false"/>
          <w:caps w:val="false"/>
          <w:smallCaps w:val="false"/>
          <w:sz w:val="20"/>
        </w:rPr>
        <w:t>” has the meaning ascribed to such term in ‎Section 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from time to time, and the rules, regulations and guidance thereunder. Any reference to a provision in the Exchange Act shall include any successor provision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(i) with respect to Shares, the closing price of a Share on the applicable date of determination (or, if there is no reported sale on such date, on the last preceding date on which any reported sale occurred), on the principal stock market or exchange on which the Shares are quoted or traded, or if Shares are not so quoted or traded, the fair market value of a Share as determined by the Committee, and (ii) with respect to any property other than Shares, the fair market value of such property determined by such methods or procedures as shall be established from time to time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means an option representing the right to purchase Shares from the Company, granted pursuant to ‎Section 6, that meets the requirements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Intrinsic Value</w:t>
      </w:r>
      <w:r>
        <w:rPr>
          <w:rFonts w:ascii="Times New Roman;Times;Serif" w:hAnsi="Times New Roman;Times;Serif"/>
          <w:b w:val="false"/>
          <w:i w:val="false"/>
          <w:caps w:val="false"/>
          <w:smallCaps w:val="false"/>
          <w:sz w:val="20"/>
        </w:rPr>
        <w:t>” with respect to an Option or SAR Award means (i) the excess, if any, of the price or implied price per Share in a Change in Control or other event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(ii) the exercise or hurdle price of such Award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(iii) the number of Shares covered by such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Non-Qualified Stock Option</w:t>
      </w:r>
      <w:r>
        <w:rPr>
          <w:rFonts w:ascii="Times New Roman;Times;Serif" w:hAnsi="Times New Roman;Times;Serif"/>
          <w:b w:val="false"/>
          <w:i w:val="false"/>
          <w:caps w:val="false"/>
          <w:smallCaps w:val="false"/>
          <w:sz w:val="20"/>
        </w:rPr>
        <w:t>” means an option representing the right to purchase Shares from the Company, granted pursuant to ‎Section 6, that is not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an Incentive Stock Option or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means a resolution of a general meeting of the shareholders of the Company duly constituted in accordance with the Company’s amended and restated memorandum and articles of association (as amended and/or restated from time to time) passed by a simple majority of the shareholders who (being entitled to do so) vote in person or by proxy at that meeting. The expression includes a unanimous written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Other Cash-Based Award</w:t>
      </w:r>
      <w:r>
        <w:rPr>
          <w:rFonts w:ascii="Times New Roman;Times;Serif" w:hAnsi="Times New Roman;Times;Serif"/>
          <w:b w:val="false"/>
          <w:i w:val="false"/>
          <w:caps w:val="false"/>
          <w:smallCaps w:val="false"/>
          <w:sz w:val="20"/>
        </w:rPr>
        <w:t>” means an Award granted pursuant to ‎Section 11, including cash awarded as a bonus or upon the attainment of specified performance criteria or otherwise as permitted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Other Stock-Based Award</w:t>
      </w:r>
      <w:r>
        <w:rPr>
          <w:rFonts w:ascii="Times New Roman;Times;Serif" w:hAnsi="Times New Roman;Times;Serif"/>
          <w:b w:val="false"/>
          <w:i w:val="false"/>
          <w:caps w:val="false"/>
          <w:smallCaps w:val="false"/>
          <w:sz w:val="20"/>
        </w:rPr>
        <w:t>” means an Award granted pursuant to ‎Section 11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the recipient of an Award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Performance Award</w:t>
      </w:r>
      <w:r>
        <w:rPr>
          <w:rFonts w:ascii="Times New Roman;Times;Serif" w:hAnsi="Times New Roman;Times;Serif"/>
          <w:b w:val="false"/>
          <w:i w:val="false"/>
          <w:caps w:val="false"/>
          <w:smallCaps w:val="false"/>
          <w:sz w:val="20"/>
        </w:rPr>
        <w:t>” means an Award granted pursuant to ‎Section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means the period established by the Committee with respect to any Performance Award during which the performance goals specified by the Committee with respect to such Award are to be measured.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has the meaning ascribed to such term in Section 3(a)(9) of the Exchange Act and used in Sections 13(d) and 14(d) thereof, including a “group” as defined in Section 13(d)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any data or information that relates to or is reasonably capable of being directly or indirectly associated with an identified or identifiable individual or household and (ii) any other data or information that is otherwise considered “personal data,” “personal information,” “personally identifiable information,” or any term of comparable intent, under applicable laws or regulations relating to the collection, use, transfer, deletion, protection or other processing of such data 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means any Share subject to certain restrictions and forfeiture conditions, granted pursuant to ‎Section 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means a contractual right granted pursuant to ‎Section 9 that is denominated in Shares. Each RSU represents a right to receive the value of one Share (or a percentage of such value) in cash, Shares or a combination thereof. Awards of RSUs may include the right to receive dividend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SAR</w:t>
      </w:r>
      <w:r>
        <w:rPr>
          <w:rFonts w:ascii="Times New Roman;Times;Serif" w:hAnsi="Times New Roman;Times;Serif"/>
          <w:b w:val="false"/>
          <w:i w:val="false"/>
          <w:caps w:val="false"/>
          <w:smallCaps w:val="false"/>
          <w:sz w:val="20"/>
        </w:rPr>
        <w:t>” means a right granted pursuant to ‎Section 7 to receive upon exercise by the Participant or settlement, in cash, Shares or a combination thereof, the excess of (i) the Fair Market Value of one Share on the date of exercise or settlement over (ii) the exercise or hurdle price of the right on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Service Agreement</w:t>
      </w:r>
      <w:r>
        <w:rPr>
          <w:rFonts w:ascii="Times New Roman;Times;Serif" w:hAnsi="Times New Roman;Times;Serif"/>
          <w:b w:val="false"/>
          <w:i w:val="false"/>
          <w:caps w:val="false"/>
          <w:smallCaps w:val="false"/>
          <w:sz w:val="20"/>
        </w:rPr>
        <w:t>” means any employment, severance, consulting or similar agreement between the Company or any of its Affiliates and a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Class A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Share Limit</w:t>
      </w:r>
      <w:r>
        <w:rPr>
          <w:rFonts w:ascii="Times New Roman;Times;Serif" w:hAnsi="Times New Roman;Times;Serif"/>
          <w:b w:val="false"/>
          <w:i w:val="false"/>
          <w:caps w:val="false"/>
          <w:smallCaps w:val="false"/>
          <w:sz w:val="20"/>
        </w:rPr>
        <w:t>” has the meaning set forth in Section 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the Plan shall be determined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Substitute Award</w:t>
      </w:r>
      <w:r>
        <w:rPr>
          <w:rFonts w:ascii="Times New Roman;Times;Serif" w:hAnsi="Times New Roman;Times;Serif"/>
          <w:b w:val="false"/>
          <w:i w:val="false"/>
          <w:caps w:val="false"/>
          <w:smallCaps w:val="false"/>
          <w:sz w:val="20"/>
        </w:rPr>
        <w:t>” means an Award granted in assumption of, or in substitution for, an outstanding award previously granted by a company or other business acquired by the Company or with which the Company combines.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Termination of Service</w:t>
      </w:r>
      <w:r>
        <w:rPr>
          <w:rFonts w:ascii="Times New Roman;Times;Serif" w:hAnsi="Times New Roman;Times;Serif"/>
          <w:b w:val="false"/>
          <w:i w:val="false"/>
          <w:caps w:val="false"/>
          <w:smallCaps w:val="false"/>
          <w:sz w:val="20"/>
        </w:rPr>
        <w:t>” means, in the case of a Participant who is an Employee, cessation of the employment relationship such that the Participant is no longer an employee of the Company or any Subsidiary, or, in the case of a Participant who is a Consultant, non-employee Director or other service provider, the date the performance of services for the Company or any Subsidiary has 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a Participant who is an Employee, the transfer of employment from the Company to a Subsidiary, from a Subsidiary to the Company, from one Subsidiary to another Subsidiary or, unless the Committee determines otherwise, the cessation of employee status but the continuation of the performance of services for the Company or a Subsidiary as a Director or Consultant shall not be deemed a cessation of service that would constitute a Termination of Service;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 Termination of Service shall be deemed to occur for a Participant employed by, or performing services for, a Subsidiary when such Subsidiary ceases to be a Subsidiary unless such Participant’s employment or service continues with the Company or another Subsidiary. Notwithstanding the foregoing, with respect to any Award subject to Section 409A of the Code (and not exempt therefrom), a Termination of Service occurs when a Participant experiences a “separation of service” (as such term is defined under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means Shares held in treasury pursuant to the Companies Act (Revised) and the Company’s amended and restated memorandum and articles of association (as amended and/or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tab/>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Employee, non-employee Director, or Consultant, as well as any other individual who devotes substantially all of his or her time and efforts to the business, management and operation of the Company or any Subsidiary shall be eligible to be selected to receive an Award under the Plan, to the extent that an offer or receipt of an Award is permitted by applicable law, stock market or exchange rules and regulations or accounting or tax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equity compensation awards granted by a company that is acquired by the Company (or whose business is acquired by the Company) or with which the Company combines are eligible for grants of Substitute Awards under the Plan to the extent permitted under applicable regulations of any stock exchange on which the Company is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tab/>
        <w:t>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Administration of the Plan</w:t>
      </w:r>
      <w:r>
        <w:rPr>
          <w:rFonts w:ascii="Times New Roman;Times;Serif" w:hAnsi="Times New Roman;Times;Serif"/>
          <w:b w:val="false"/>
          <w:i w:val="false"/>
          <w:caps w:val="false"/>
          <w:smallCaps w:val="false"/>
          <w:sz w:val="20"/>
        </w:rPr>
        <w:t>. The Plan shall be administered by the Committee. All decisions of the Committee shall be final, conclusive and binding upon all parties, including the Company, its shareholders, Participants and any Beneficiaries thereof. The Committee may issue rules and regulations for administration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Delegation of Authority</w:t>
      </w:r>
      <w:r>
        <w:rPr>
          <w:rFonts w:ascii="Times New Roman;Times;Serif" w:hAnsi="Times New Roman;Times;Serif"/>
          <w:b w:val="false"/>
          <w:i w:val="false"/>
          <w:caps w:val="false"/>
          <w:smallCaps w:val="false"/>
          <w:sz w:val="20"/>
        </w:rPr>
        <w:t xml:space="preserve">. To the extent permitted by applicable law, the Committee may delegate to one or more officers of the Company some or all of its authority under the Plan, including the authority to grant all types of Awards (except that such delegation shall not apply to any Award for a Person then covered by Section 16 of the Exchange Act), and the Committee may delegate to one or more committees of the Board (which may consist of solely one Director) some or all of its authority under the Plan, including the authority to grant all types of Awards, in accordance with applicable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notwithstanding the foregoing, (x) any such delegation shall be subject to, and exercised in accordance with, the Companies Act (Revised) of the Cayman Islands and the Company’s amended and restated memorandum and articles of association (as amended and/or restated from time to time), and (y) the allotment and issue of Shares (as distinct from the selection of Participants and the determination of Award terms) shall in all cases be authorized by the Board or by a duly constituted committee of the Board the majority of whose members are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Authority of Committee</w:t>
      </w:r>
      <w:r>
        <w:rPr>
          <w:rFonts w:ascii="Times New Roman;Times;Serif" w:hAnsi="Times New Roman;Times;Serif"/>
          <w:b w:val="false"/>
          <w:i w:val="false"/>
          <w:caps w:val="false"/>
          <w:smallCaps w:val="false"/>
          <w:sz w:val="20"/>
        </w:rPr>
        <w:t>. Subject to the terms of the Plan and applicable law, the Committee (or its delegate) shall have full discretion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and prescribe the form of each Award Agreement, which need not be identical for each Participant; (v) determine whether, to what extent, under what circumstances and by which methods Awards may be settled or exercised in cash, Shares, other Awards, other property, net settlement (including broker-assisted cashless exercise), or any combination thereof, or canceled,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amend terms or conditions of any outstanding Awards; (viii) correct any defect, supply any omission and reconcile any inconsistency in the Plan or any Award, in the manner and to the extent it shall deem desirable to carry the Plan into effect (including any actions required under the applicable clawback rules of a securities exchange); (ix) interpret and administer the Plan and any instrument or agreement relating to, or Award made under, the Plan; (x)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 (xi) 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w:t>
        <w:tab/>
        <w:t>Shares Available for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adjustment as provided in ‎Section 5(c) and except for Substitute Awards, the maximum number of Shares available for issuance under the Plan shall not exceed, in the aggregate, 9,000,000 Shares (the “</w:t>
      </w:r>
      <w:r>
        <w:rPr>
          <w:rFonts w:ascii="Times New Roman;Times;Serif" w:hAnsi="Times New Roman;Times;Serif"/>
          <w:b/>
          <w:i w:val="false"/>
          <w:caps w:val="false"/>
          <w:smallCaps w:val="false"/>
          <w:sz w:val="20"/>
        </w:rPr>
        <w:t>Share Limit</w:t>
      </w:r>
      <w:r>
        <w:rPr>
          <w:rFonts w:ascii="Times New Roman;Times;Serif" w:hAnsi="Times New Roman;Times;Serif"/>
          <w:b w:val="false"/>
          <w:i w:val="false"/>
          <w:caps w:val="false"/>
          <w:smallCaps w:val="false"/>
          <w:sz w:val="20"/>
        </w:rPr>
        <w:t>”). Shares underlying Substitute Awards and Shares remaining available for grant under a 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Notwithstanding anything to the contrary in the Plan, the maximum number of Shares that may be issued under the Plan shall not, at any time, exceed the number of Class A Ordinary Shares then remaining authorized but unissued in the share capital of the Company (after taking into account the Class A Ordinary Shares that the Directors are required to reserve for the conversion of the Class B Ordinary Shares), and no Shares shall be issued in excess of the Company’s authorized share capital unless and until such authorized share capital has first been increased by Ordinary Resolution in accordance with the Company’s amended and restated memorandum and articles of association (as amended and/or restated from time to time) and the Companies Act (Revised)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Award is forfeited, cancelled, expires, terminates or otherwise lapses or is settled in cash, in whole or in part, without the delivery of Shares, then the Shares covered by such forfeited, expired, terminated or lapsed Award shall again be available for grant under the Plan. The following shall become available for issuance under the Plan: (i) any Shares withheld in respect of taxes relating to any Award and (ii) any Shares tendered or withheld to pay the exercise price of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Committee determines that, as a result of any dividend or other distribution (other than an ordinary dividend or distribution), recapitalization, stock split, reverse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‎Section 19 and applicable law, adjust equitably so as to ensure no undue enrichment or harm (including by payment of cash), any or all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number and type of Shares (or other securities) which thereafter may be made the subject of Awards, including the aggregate limits specified in ‎Section 5(a) and ‎Section 5(e);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and type of Shares (or other securities) subject to outstanding Awards;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grant, acquisition, exercise or hurdle price with respect to any Award or, if deemed appropriate, make provision for a cash payment to the holder of an outstanding Award; and</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terms and conditions of any outstanding Awards, including the performance criteria of any Performance Awards;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number of Shares subject to any Award denominated in Shares shall always be a whole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Shares delivered pursuant to an Award may consist, in whole or in part, of authorized and unissued Shares or Shares acquired by the Company and held as Treasury Shares, in each case subject to and in accordance with the Companies Act (Revised) and the Company’s amended and restated memorandum and articles of association (as amended and/or restated from time to time), including the provisions governing Treasury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adjustment as provided in ‎Section 5(c)(i), the maximum number of Shares available for issuance with respect to Incentive Stock Options shall be such number of Shares equal to the Share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w:t>
        <w:tab/>
        <w:t xml:space="preserve">Options.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Options to Participants with the following terms and conditions and with such additional terms and conditions, in either case not inconsistent with the provisions of the Plan, as the Committee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exercise price per Share under an Option shall be determined by the Committee at the time of grant;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case of an Incentive Stock Option, the exercise price per Share shall not be less than 100% of the Fair Market Value of a Share on the date of grant (or, in the case of an Incentive Stock Option granted to an individual who owns stock possessing more than 10% of the total combined voting power of all classes of stock of the Company or any parent or subsidiary corporation within the meaning of Section 424 of the Code, not less than 110% of the Fair Market Value of a Share on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term of each Option shall be fixed by the Committee;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case of an Incentive Stock Option, the term shall not exceed ten (10) years from the date of grant (or, in the case of an Incentive Stock Option granted to an individual who owns stock possessing more than 10% of the total combined voting power of all classes of stock of the Company or any parent or subsidiary corporation within the meaning of Section 424 of the Code, five (5) years from the date of grant). The Committee shall determine the time or times at which an Option becomes vested and exercisable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case of an Incentive Stock Option, the permissible methods of payment shall be limited to those methods that are consistent with the requirements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an Option is not previously exercised as to all of the Shares subject thereto, and, if the Fair Market Value of one Share is greater than the exercise price then in effect, then the Option shall be deemed automatically exercised immediately before its expiration,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Section 6(d) shall only apply if the Option is granted to a Participant who is subject to U.S.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Option will not convey to a Participant the right to any Shares or the rights and privileges of a shareholder with respect to the Shares subject to such Option, such as the right to vote or the right to receive dividends, unless and until and to the extent a Share is issued to such Participant upon exercise of such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grant of Options may be accompanied by a tandem award of dividend equivalents or provide for dividends, dividend equivalents or other distributions to be paid on such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terms of any Incentive Stock Option granted under the Plan shall comply in all respects with the provisions of Section 422 of the Code. Incentive Stock Options may be granted only to employees of the Company or of a parent or subsidiary corporation (as defined in Section 424 of the Code). For the avoidance of doubt, the Company’s United States subsidiaries, [including Bgin Infrastructure, LLC, BGIN MANAGEMENT, LLC, Bgin Mining Inc. and BGIN CONSTRUCTION INC.], are intended to qualify as subsidiary corporations for purposes of Section 424 of the Code, and the Committee shall confirm such qualification prior to the grant of any Incentive Stock Option to an employee of any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that the aggregate Fair Market Value (determined as of the date of grant) of Shares with respect to which Incentive Stock Options are exercisable for the first time by any Participant during any calendar year (under all plans of the Company and any parent or subsidiary corporation within the meaning of Section 424 of the Code) exceeds $100,000, such Options shall be treated as Non-Qualified Stock Options to the extent of such excess. The Committee shall administer this limitation in accordance with Section 422(d)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w:t>
        <w:tab/>
        <w:t xml:space="preserve">Stock Appreciation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SARs to Participants with the following terms and conditions and with such additional terms and conditions, in either case not inconsistent with the provisions of the Plan, as the Committee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SARs may be granted under the Plan to Participants either alone (“freestanding”) or in addition to other Awards granted under the Plan (“tandem”) and may, but need not, relate to a specific Option granted under ‎Section 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exercise or hurdle price per Share under a SAR shall be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Substitute Awards, with respect to SARs granted to a Participant who is subject to U.S. taxation, such exercise or hurdle price shall not be less than the Fair Market Value of a Share on the date of grant of such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of each SAR shall be fixed by the Committee. The Committee shall determine the time or times at which a SAR may be exercised or settled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a SAR is not previously exercised as to all of the Shares subject thereto, and, if the Fair Market Value of one Share is greater than the exercise price then in effect, then the SAR shall be deemed automatically exercised immediately before its expiration,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Section 7(e) shall only apply if the SAR is granted to a Participant who is subject to U.S.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grant of SARs may be accompanied by a tandem award of dividend equivalents or provide for dividends, dividend equivalents or other distributions to be paid on such SARs.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It is intended that SARs granted to Participants who are subject to U.S. taxation shall be exempt from Section 409A of the Code as “stock rights” within the meaning of Treasury Regulation §1.409A-1(b)(5), and the terms of any such SAR shall be construed and administered consistent with such intent. In furtherance thereof, (i) the exercise or hurdle price of any such SAR shall not be less than the Fair Market Value of a Share on the date of grant (except in the case of Substitute Awards to the extent permitted under Treasury Regulation §1.409A-1(b)(5)(v)(D)), (ii) no such SAR shall include any feature for the deferral of compensation other than the deferral of recognition of income until the exercise of the SAR, and (iii) the term of any such SAR shall not exceed ten (10) years from the date of grant. To the extent any SAR granted to a Participant who is subject to U.S. taxation fails to satisfy the requirements of the stock right exemption and is deemed to constitute deferred compensation subject to Section 409A of the Code, such SAR shall be administered in accordance with the requirements of Section 409A of the Code, and the Company shall have no liability to any Participant or any other person if any SAR that is intended to be exempt from, or compliant with, Section 409A of the Code is not so exempt or compliant.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w:t>
        <w:tab/>
        <w:t> Restricted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Awards of Restricted Stock to Participants with the following terms and conditions and with such additional terms and conditions, in either case not inconsistent with the provisions of the Plan, as the Committee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Award Agreement shall specify the vesting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Awards of Restricted Stock shall be subject to such restrictions as the Committee may impose, which restrictions may lapse separately or in combination at such time or times, in such installments or otherwise, as the Committee may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restrictions set forth in the applicable Award Agreement, a Participant generally shall have the rights and privileges of a shareholder with respect to Awards of Restricted Stock, including the right to vote such Shares of Restricted Stock and the right to receive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Committee may, in its discretion, specify in the applicable Award Agreement that any or all dividends or other distributions paid on Awards of Restricted Stock prior to vesting be paid either in cash or in additional Shares and either on a current or deferred basis and that such dividends or other distributions may be reinvested in additional Shares, which may be subject to the same restrictions as the underlying Awards;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with respect to any Award of Restricted Stock that is subject to performance-based vesting conditions and is held by a Participant who is subject to U.S. taxation, any dividends or other distributions paid with respect to such Award prior to the satisfaction of the applicable performance conditions shall be accumulated and paid to the Participant only if, when and to the extent that the underlying Award vests, and shall be forfeited to the extent the underlying Award is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Award of Restricted Stock may be evidenced in such manner as the Committee may deem appropriate, including book-entry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Committee may provide in an Award Agreement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such Participant shall be required to file promptly a copy of such election with the Company and the applicable Internal Revenue Service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w:t>
        <w:tab/>
        <w:t>RSUs.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Awards of RSUs to Participants with the following terms and conditions and with such additional terms and conditions, in either case not inconsistent with the provisions of the Plan, as the Committee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Award Agreement shall specify the vesting schedule and the delivery schedule (which may include deferred delivery later than the vesting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Awards of RSUs shall be subject to such restrictions as the Committee may impose, which restrictions may lapse separately or in combination at such time or times, in such installments or otherwise, as the Committee may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RSU shall not convey to a Participant the rights and privileges of a shareholder with respect to the Share subject to such RSU, such as the right to vote or the right to receive dividends, unless and until and to the extent a Share is issued to such Participant to settle such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Committee may, in its discretion, specify in the applicable Award Agreement that any or all dividend equivalents or other distributions paid on Awards of RSUs prior to vesting or settlement, as applicable, be paid either in cash or in additional Shares and either on a current or deferred basis and that such dividend equivalents or other distributions may be reinvested in additional Shares, which may be subject to the same restrictions as such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Shares delivered upon the vesting and settlement of an RSU Award may be evidenced in such manner as the Committee may deem appropriate, including book-entry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Committee may determine the form or forms (including cash, Shares, other Awards, other property or any combination thereof) in which payment of the amount owing upon settlement of any RSU Award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It is intended that Awards of RSUs granted to Participants who are subject to U.S. taxation shall either be exempt from Section 409A of the Code or comply with the requirements of Section 409A of the Code, and the terms of any such Award shall be construed and administered consistent with such intent. In furtherance thereof: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to the extent any RSU Award provides for a delivery schedule that includes deferred delivery later than the vesting date, such deferred delivery shall be permitted only upon a payment event that constitutes a permissible payment event under Section 409A of the Code (including, without limitation, a “separation from service,” a fixed date or schedule, a “change in control event,” death, or “disability,” each as defined under Section 409A of the Code), and any election by a Participant to further defer settlement of an RSU Award shall comply with the election timing and other requirements of Section 409A of the Code;</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with respect to any RSU Award held by a Participant who is a “specified employee” (as defined under Section 409A of the Code) at the time of such Participant’s separation from service, any payment or delivery of Shares that constitutes deferred compensation subject to Section 409A of the Code and that is triggered by such separation from service shall not be made before the date that is six (6) months following such separation from service (or, if earlier, the date of the Participant’s death);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85" w:type="dxa"/>
            <w:tcBorders/>
            <w:vAlign w:val="center"/>
          </w:tcPr>
          <w:p>
            <w:pPr>
              <w:pStyle w:val="TableContents"/>
              <w:bidi w:val="0"/>
              <w:spacing w:before="0" w:after="283"/>
              <w:jc w:val="both"/>
              <w:rPr/>
            </w:pPr>
            <w:r>
              <w:rPr/>
              <w:t>with respect to any RSU Award held by a Participant who is subject to U.S. taxation, any dividend equivalents or other distributions credited with respect to such Award prior to vesting or settlement shall be accumulated and paid to the Participant only if, when and to the extent that the underlying RSU Award vests and is settled, and shall be forfeited to the extent the underlying Award is forfeited, it being intended that any such dividend equivalent arrangement shall not constitute a separate deferred compensation arrangement subject to Section 409A of the Code. The Company shall have no liability to any Participant or any other Person if any RSU Award that is intended to be exempt from, or compliant with, Section 409A of the Code is not so exempt or compliant.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w:t>
        <w:tab/>
        <w:t>Performance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Performance Awards to Participants with the following terms and conditions and with such additional terms and conditions, in either case not inconsistent with the provisions of the Plan, as the Committee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Awards may be denominated as a cash amount, number of Shares or units or a combination thereof and are Awards that may be earned upon achievement or satisfaction of performance conditions as may be specified by the Committee. In addition, the Committee may specify that any other Award shall constitute a Performance Award by conditioning the grant to a Participant or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Performance criteria may be measured on an absolute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plan or budget) or relative basis, and may be established on a corporate-wide basis, with respect to one or more business units, divisions, Subsidiaries or business segments, or on an individual basis.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such that it does not provide any undue enrichment or harm.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10(b) as it may deem necessary or appropriate to ensure that such Awards satisfy all requirements of any applicable law, stock market or exchange rules and regulations or accounting or tax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Settlement of Performance Awards shall be in cash, Shares, other Awards, other property, net settlement, or any combination thereof, as determined in the discretion of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Performance Award shall not convey to a Participant the rights and privileges of a shareholder with respect to the Shares subject to such Performance Award, such as the right to vote (except as relates to Restricted Stock) or the right to receive dividends, unless and until and to the extent a Share is issued to such Participant to settle such Performance Award. The Committee, in its sole discretion, may provide that a Performance Award shall convey the right to receive dividend equivalents on the Shares subject to such Performance Award with respect to any dividends declared during the period that such Performance Award is outstanding, in which case, such dividend equivalent rights shall accumulate and shall be paid in cash or Shares on the settlement date of the Performance Award, subject to the Participant’s earning of the Shares with respect to which such dividend equivalents are paid upon achievement or satisfaction of performance conditions specified by the Committee. Shares delivered upon the vesting and settlement of a Performance Award may be evidenced in such manner as the Committee may deem appropriate, including book-entry registration. For the avoidance of doubt, unless otherwise determined by the Committee, no dividend equivalent rights shall be provided with respect to any Shares subject to Performance Awards that are not earned or otherwise do not vest or settle pursuant to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Committee may, in its discretion, increase or reduce the amount of a settlement otherwise to be made in connection with a Performance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It is intended that Performance Awards granted to Participants who are subject to U.S. taxation shall either be exempt from Section 409A of the Code (including as “short-term deferrals” within the meaning of Treasury Regulation §1.409A-1(b)(4)) or comply with the requirements of Section 409A of the Code, and the terms of any such Award shall be construed and administered consistent with such intent. In furtherance thereof: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t>to the extent any Performance Award provides for settlement after the applicable Performance Period, such settlement shall occur no later than the later of (A) the fifteenth (15th) day of the third month following the end of the Participant’s taxable year in which the Performance Award is no longer subject to a substantial risk of forfeiture, or (B) the fifteenth (15th) day of the third month following the end of the Company’s taxable year in which the Performance Award is no longer subject to a substantial risk of forfeiture (the “Short-Term Deferral Period”), unless such settlement is deferred to a date or upon an event that constitutes a permissible payment event under Section 409A of the Code (including, without limitation, a “separation from service,” a fixed date or schedule, a “change in control event,” death, or “disability,” each as defined under Section 409A of the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with respect to any Performance Award held by a Participant who is a “specified employee” (as defined under Section 409A of the Code) at the time of such Participant’s separation from service, any payment or delivery of Shares that constitutes deferred compensation subject to Section 409A of the Code and that is triggered by such separation from service shall not be made before the date that is six (6) months following such separation from service (or, if earlier, the date of the Participant’s death); 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85" w:type="dxa"/>
            <w:tcBorders/>
            <w:vAlign w:val="center"/>
          </w:tcPr>
          <w:p>
            <w:pPr>
              <w:pStyle w:val="TableContents"/>
              <w:bidi w:val="0"/>
              <w:spacing w:before="0" w:after="283"/>
              <w:jc w:val="both"/>
              <w:rPr/>
            </w:pPr>
            <w:r>
              <w:rPr/>
              <w:t>with respect to any Performance Award held by a Participant who is subject to U.S. taxation, any dividend equivalents or other distributions credited with respect to such Award prior to settlement shall be accumulated and paid to the Participant only if, when and to the extent that the underlying Performance Award is earned and settled, and shall be forfeited to the extent the underlying Award is forfeited, it being intended that any such dividend equivalent arrangement shall not constitute a separate deferred compensation arrangement subject to Section 409A of the Code. The Company shall have no liability to any Participant or any other Person if any Performance Award that is intended to be exempt from, or compliant with, Section 409A of the Code is not so exempt or compliant.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Committee shall have the authority to structure Performance Awards and other compensation arrangements under the Plan with the intent of optimizing the deductibility of such compensation for U.S. federal income tax purposes;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does not guarantee the deductibility of any compensation paid pursuant to the Plan. Participants and the Company acknowledge that Section 162(m) of the Code generally limits the deductibility of compensation paid to “covered employees” (as defined in Section 162(m) of the Code) of publicly traded corporations to $1,000,000 per taxable year. The Committee shall take Section 162(m) of the Code into account in structuring Performance Awards and other compensation arrangements under the Plan to the extent it deems appropriate, but shall not be required to structure any Award to qualify for deductibility under Section 162(m) of the Code, and the Committee may, in its sole discretion, approve compensation that is not deductible under Section 162(m)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w:t>
        <w:tab/>
        <w:t>Other Cash-Based Awards and Other Stock-Based Awards.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subject to limitations under applicable law, to grant Other Cash-Based Awards (either independently or as an element of or supplement to any other Award under the Plan) and Other Stock-Based Awards. </w:t>
      </w:r>
      <w:r>
        <w:rPr>
          <w:rFonts w:ascii="Times New Roman;Times;Serif" w:hAnsi="Times New Roman;Times;Serif"/>
          <w:b w:val="false"/>
          <w:i w:val="false"/>
          <w:caps w:val="false"/>
          <w:smallCaps w:val="false"/>
          <w:sz w:val="20"/>
          <w:shd w:fill="FFFFFF" w:val="clear"/>
        </w:rPr>
        <w:t>The Committee shall determine the terms and conditions of such Awards. Shares delivered pursuant to an Award in the nature of a purchase right granted under this ‎Section 11 shall be purchased for such consideration, and paid for at such times, by such methods and in such forms, including cash, Shares, other Awards, other property, net settlement, broker-assisted cashless exercise or any combination thereof, as the Committee shall determine;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that the purchase price of such Awards granted to a Participant who is subject to U.S. taxation therefor shall not be less than the Fair Market Value of such Shares on the date of grant of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It is intended that Other Cash-Based Awards and Other Stock-Based Awards granted to Participants who are subject to U.S. taxation shall either be exempt from Section 409A of the Code or comply with the requirements of Section 409A of the Code, and the terms of any such Award shall be construed and administered consistent with such intent. To the extent any Other Cash-Based Award or Other Stock-Based Award constitutes or is deemed to constitute “deferred compensation” subject to Section 409A of the Code, such Award shall be administered in accordance with the requirements of Section 409A of the Code, including the permissible payment event rules and, where applicable, the six (6)-month delay requirement for “specified employees” (as defined under Section 409A of the Code) upon a “separation from service” (as defined under Section 409A of the Code). The Company shall have no liability to any Participant or any other Person if any Other Cash-Based Award or Other Stock-Based Award that is intended to be exempt from, or compliant with, Section 409A of the Code is not so exempt or compliant. For the avoidance of doubt, to the extent any such Award does not constitute deferred compensation subject to Section 409A of the Code, the foregoing shall not be construed to impose any additional restrictions on the terms or administration of such Award. See also ‎Section 19 for the general Section 409A savings clause applicable to Awards under the Plan.</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w:t>
        <w:tab/>
        <w:t>Effect of Termination of Service or a Change in Control on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provide, by rule or regulation or in any applicable Award Agreement, or may determine in any individual case, the circumstances in which, and the extent to which, an Award may be exercised, settled, vested, paid or forfeited in the event of a Participant’s Termination of Service prior to the end of a Performance Period or vesting, exercise or settlement of such Award. With respect to Singapore Participants (as defined in Annex A), the provisions of Section 3 of Annex A shall also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may determine, in its discretion, whether, and the extent to which, (i) an Award will vest during a leave of absence, (ii) a reduction in service level (for example, from full-time to part-time employment) will cause a reduction, or other change, to an Award and (iii) a leave of absence or reduction in service will be deemed a Termination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 Change in Control, the Committee may, in its sole discretion, and on such terms and conditions as it deems appropriate, take any one or more of the following actions with respect to any outstanding Award, which need not be uniform with respect to all Participants and/or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continuation or assumption of such Award by the Company (if it is the surviving corporation) or by the successor or surviving entity or its parent;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acceleration of the vesting of such Award and the lapse of any restrictions thereon and, in the case of an Option or SAR Award, acceleration of the right to exercise such Award during a specified period (and the termination of such Option or SAR Award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the Company (or a successor corporation or its parent) without Cause, by a Participant for “good reason” and/or due to a Participant’s death or “disability”, as such terms may be defined in the applicable Award Agreement and/or a Participant’s Service Agreement, as the case may be) on or within a specified period following the Change in Control or (C) upon the failure of the successor or surviving entity (or its parent) to continue or assume such Award;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with respect to any Award held by a Participant who is subject to U.S. taxation that constitutes “deferred compensation” subject to Section 409A of the Code, any acceleration of the payment or settlement (as opposed to the vesting) of such Award in connection with a Change in Control shall be permitted only to the extent that the applicable Change in Control event also constitutes a “change in control event” within the meaning of Treasury Regulation §1.409A-3(i)(5), and to the extent such Change in Control does not so qualify, vesting of such Award may be accelerated but payment or settlement shall occur on the scheduled payment date specified in the applicable Award Agreement (or such earlier date as may be permitted under Section 409A of the Code);</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Performance Award, determination of the level of attainment of the applicable performance condition(s); and</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an Option or SAR Award, if such value equals the Intrinsic Value of such Award, such value shall be deemed to be valid;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the Intrinsic Value of an Option or SAR Award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Awards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timing of such payment shall comply with Section 409A of the Code.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w:t>
        <w:tab/>
        <w:t>General Provisions Applicable to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Awards shall be granted for such cash or other consideration, if any, as the Committee determines;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Awards be issued for less than such minimal consideration as may be required by applicable law. No Share shall be issued at a discount to its par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the Plan, an annex may apply for Participants who are subject to taxation of a particular jurisdiction. Without limiting the generality of the foregoing, Annex A sets forth additional terms and conditions applicable to Singapore Participants (as defined therein), Annex B sets forth additional terms and conditions applicable to PRC Participants (as defined therein) and Annex C sets forth additional terms and conditions applicable to Hong Kong Participants (as defined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all Awards and the Shares issuable under the Plan are subject to the Companies Act (Revised) of the Cayman Islands and the then effective amended and restated memorandum and articles of association of the Company, as amended and/or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at the time of grant,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may be permitted by the Committee or as specifically provided in an Award Agreement and subject to compliance with applicable securities laws, (i) no Award and no right under any Award shall be assignable, alienable, saleable, pledgeable or transferable by a Participant other than by will or pursuant to ‎Section 13(g) and (ii) during a Participant’s lifetime, each Award, and each right under any Award, shall be exercisable only by such Participant or, if permissible under applicable law, by such Participant’s guardian or legal representative. The provisions of this ‎Section 13(f) shall not apply to any Award that has been fully exercised or settled, as the case may be, and shall not preclude forfeiture of an Award in accordance with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Participant may designate a Beneficiary or change a previous Beneficiary designation only at such times as prescribed by the Committee, in its sole discretion, and only by using forms and following procedures approved or accepted by the Committee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will not be obligated to deliver any Shares under the Plan or remove restrictions from Shares previously delivered under the Plan until (i) all Award conditions have been met or removed to the Committee’s satisfaction, (ii) as determined by the Committee, all other legal matters regarding the issuance and delivery of such Shares have been satisfied, including any applicable securities laws, stock market or exchange rules and regulations or accounting or tax rules and regulations and (iii) the Participant has executed and delivered to the Company such representations or agreements as the Committee deems necessary or appropriate to satisfy any applicable laws. The Company’s inability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Committee may, to the extent permitted by applicable law,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 Notwithstanding the foregoing, with respect to any Singapore Participant (as defined in Annex A), the Committee shall ensure that any restrictive covenants constituting restraint of trade covenants are reasonable in scope in terms of the restricted activity, geographical area and duration, having regard to the requirements of Singapore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w:t>
        <w:tab/>
        <w:t>Amendments and Terminations.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Amendment or Termination of the Plan</w:t>
      </w:r>
      <w:r>
        <w:rPr>
          <w:rFonts w:ascii="Times New Roman;Times;Serif" w:hAnsi="Times New Roman;Times;Serif"/>
          <w:b w:val="false"/>
          <w:i w:val="false"/>
          <w:caps w:val="false"/>
          <w:smallCaps w:val="false"/>
          <w:sz w:val="20"/>
        </w:rPr>
        <w:t>. Except to the extent prohibited by applicable law and unless otherwise expressly provided in an Award Agreement or in the Plan, the Board may amend, alter, suspend, discontinue or terminate the Plan or any portion thereof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subject to ‎Section 5(c) and ‎Section 12,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18.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Dissolution or Liquidation</w:t>
      </w:r>
      <w:r>
        <w:rPr>
          <w:rFonts w:ascii="Times New Roman;Times;Serif" w:hAnsi="Times New Roman;Times;Serif"/>
          <w:b w:val="false"/>
          <w:i w:val="false"/>
          <w:caps w:val="false"/>
          <w:smallCaps w:val="false"/>
          <w:sz w:val="20"/>
        </w:rPr>
        <w:t>. In the event of the dissolution or liquidation of the Company, each Award shall terminate immediately prior to the consummation of such action, unless otherwise determined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Terms of Awards</w:t>
      </w:r>
      <w:r>
        <w:rPr>
          <w:rFonts w:ascii="Times New Roman;Times;Serif" w:hAnsi="Times New Roman;Times;Serif"/>
          <w:b w:val="false"/>
          <w:i w:val="false"/>
          <w:caps w:val="false"/>
          <w:smallCaps w:val="false"/>
          <w:sz w:val="20"/>
        </w:rPr>
        <w:t>. The Committee may waive any conditions or rights under, amend any terms of, or amend, alter, suspend, discontinue or terminate any Award theretofore granted (including by substituting another Award of the same or a different type), prospectively or retroactively, without the consent of any relevant Participant or holder or Beneficiary of an Award;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subject to ‎Section 5(c) and ‎Section 12, no such action shall materially adversely affect the rights of any affected Participant or holder or Beneficiary under any Award theretofore granted under the Plan,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‎Section 18. The Committee shall be authorized to make adjustments in the terms and conditions of, and the criteria included in, Awards in recognition of events (including the events described in ‎Section 5(c))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Option and SAR Repricing. </w:t>
      </w:r>
      <w:r>
        <w:rPr>
          <w:rFonts w:ascii="Times New Roman;Times;Serif" w:hAnsi="Times New Roman;Times;Serif"/>
          <w:b w:val="false"/>
          <w:i w:val="false"/>
          <w:caps w:val="false"/>
          <w:smallCaps w:val="false"/>
          <w:sz w:val="20"/>
        </w:rPr>
        <w:t>Subject to the terms of the Plan and applicable law, the Committee, from time to time and in its sole discretion, may provide for (1) the amendment of any outstanding Option or SAR to adjust the exercise price or base price of the Award, (2) the cancellation, exchange, or surrender of an outstanding Option or SAR in exchange for cash or other Awards (for the purpose of repricing the Award or otherwise), or (3) the cancellation, exchange, or surrender of an outstanding Option or SAR in exchange for an Option or SAR with an exercise or base price that is less than the exercise or base price of the original Award; provided, however, with respect to the Awards granted to any Participant who is subject to U.S. taxation, the exercise price may not be reduced below the Fair Market Value of the Award on the date the action is taken to reduce the exercise price. For the avoidance of doubt, the Committee may take any or all of the foregoing actions under this Section 14(d) without shareholder approval and without the consent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Employee, Consultant, non-employee Director, Participant, or other Person shall have any claim to be granted any Award under the Plan, and there is no obligation for uniformity of treatment of Employees, Consultant, non-employee Director,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under the Plan is not intended to confer any rights on the receiving Participant except as set forth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in the Plan shall prevent the Company or any Affiliate from adopting or continuing in effect other or additional compensation arrangements, including the grant of options and other stock-based awards, and such arrangements may be either generally applicable or applicable only in specific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to satisfy all obligations for the payment of such taxes and, unless otherwise determined by the Committee in its discretion, to the extent such withholding would not result in liability classification of such Award (or any portion thereof) pursuant to FASB ASC Subtopic 718-10 or any successor accounting rule thereto;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with respect to any Award held by a Participant who is subject to U.S. federal income taxation, the amount withheld shall not exceed the maximum statutory tax rate applicable to such Participant in the relevant jurisdiction (or such other rate as may be required to avoid liability classification of such Award under FASB ASC Subtopic 718-10 or any successor accounting rule thereto). With respect to Singapore Participants (as defined in Annex A), the additional withholding and tax clearance provisions set forth in Section 2 of Annex A shall also apply. With respect to Hong Kong Participants (as defined in Annex C), the tax clearance provisions set forth in Section 2 of Annex C shall also apply. With respect to PRC Participants (as defined in Annex B), the provisions of Section 2 of Annex B shall apply in lieu of the Company’s withholding authority under this Section 15(e) to the extent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Plan is intended to accommodate Participants in each jurisdiction in which the Company or any Subsidiary operates or in which Participants reside or provide services. Each Participant shall be responsible for obtaining any government or other consent that may be required by any country or any jurisdiction in order to permit the grant, vesting and/or exercise of such Option, SAR and/or similar Awards, including but not limited to any registration, filing or approval requirements under the applicable laws of the relevant jurisdiction. The Committee also may impose conditions on the exercise or vesting of Awards in order to minimize the Company’s obligation with respect to tax equalization for Participants on assignments outside their home country. For the avoidance of doubt, individuals who provide services to the Company or any Subsidiary pursuant to service or freelancer agreements may be eligible to receive Awards under the Plan to the extent permitted by applicable law and as determined by the Committee in its sole discretion;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any such individual who is treated as an independent contractor (rather than an employee) for U.S. federal income tax purposes, the Committee shall take into account such individual’s classification when structuring any Award, including for purposes of compliance with Section 409A of the Code (which applies to deferred compensation arrangements with service providers broadly, and not solely to employees), and shall structure any such Award in a manner intended to avoid the imposition of additional taxes or penalties under Section 409A of the Code. Notwithstanding anything in this Section 15(i) to the contrary, the Company shall not conduct any promotional activities for Awards through domestic affiliates or domestic channels in any jurisdiction in which such activities could cause the grant of Awards to be characterized as a domestic offering of securities in contravention of applicable local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w:t>
        <w:tab/>
        <w:t>Effective Date of the Plan</w:t>
      </w:r>
      <w:r>
        <w:rPr>
          <w:rFonts w:ascii="Times New Roman;Times;Serif" w:hAnsi="Times New Roman;Times;Serif"/>
          <w:b w:val="false"/>
          <w:i/>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as of the Effective Date, subject to (i) adoption by the Board and, to the extent required by the Designated Stock Exchange Rules or applicable law, and (ii) the Company having sufficient authorized but unissued Class A Ordinary Shares (or having first increased its authorized share capital to satisfy Awards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w:t>
        <w:tab/>
        <w:t>Term of the Plan</w:t>
      </w:r>
      <w:r>
        <w:rPr>
          <w:rFonts w:ascii="Times New Roman;Times;Serif" w:hAnsi="Times New Roman;Times;Serif"/>
          <w:b w:val="false"/>
          <w:i/>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shall be granted under the Plan after the earlier to occur of (i) the 10-year anniversary of the Effective Date, or (ii) the Board terminates the Plan in accordance with ‎Section 14(a).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w:t>
        <w:tab/>
        <w:t>Cancellation or “Clawback” of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restrictive covenants, or requirements to comply with minimum share ownership requirements, that may apply to the Participant, or other conduct by the Participant that is detrimental to the business or reputation of the Company and/or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shall have full authority to implement any policies and procedures necessary to comply with Section 10D of the Exchange Act and any rules promulgated thereunder and any other regulatory regimes. Notwithstanding anything to the contrary contained herein, any Awards granted under the Plan (including any amounts or benefits arising from such Awards) shall be subject to any clawback or recoupment arrangements or policies the Company has in place from time to time, and the Committee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19.</w:t>
        <w:tab/>
        <w:t>Section 409A and Section 457A of the Code.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Awards granted to Participants who are subject to U.S. federal income taxation, the Plan is intended to comply with the requirements of Section 409A and Section 457A of the Code, and the provisions of the Plan and any Award Agreement shall be interpreted in a manner that satisfies the requirements of Section 409A and Section 457A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Board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Section 1.409A-2(b)(2)(iii)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 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a Participant on account of non-compliance with Section 409A and Section 457A of the Code. For the avoidance of doubt, the provisions of this Section 19 relating to Section 409A and Section 457A of the Code shall apply solely to Participants who are subject to U.S. federal income taxation. Awards granted to Participants who are subject to taxation outside the United States shall be administered in accordance with the applicable tax laws and regulations of the relevant jurisdiction, as further set forth in any applicable annex to the Plan (including Annex A with respect to Singapore Participants, Annex B with respect to PRC Participants and Annex C with respect to Hong Kong Participants) or as otherwise determined by the Committee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w:t>
        <w:tab/>
        <w:t xml:space="preserve">Successors and Assigns.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Plan shall be binding upon and inure to the benefit of the Company and any successor entity, including any successor entity contemplated by ‎Section 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w:t>
        <w:tab/>
        <w:t>Notices.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required or permitted to be given under this Plan or in an Award Agreement is effective when delivered either by email or mail, duly addressed to the party concerned at the address indicated below or to such changed address as such party may subsequently by similar process give notice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#09-12 Paya Lebar Square</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Qingfeng Wu</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legal@bgin.com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Participant’s most recent email or mailing address as provided to the Company, or at any other address which a Participant may specify in a notice delivered to the Company in the manner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w:t>
        <w:tab/>
        <w:t>Data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Plan, the Company may need to process Personal Data provided by the Participant to the Company or its Affiliates, third party service providers or others acting on the Company’s behalf. As a Cayman Islands exempted company, the Company is a data controller subject to the Data Protection Act (Revised) of the Cayman Islands, and shall collect, use, transfer and otherwise process Personal Data in accordance with that Act and any other data protection or privacy laws applicable to the Participant. Examples of such Personal Data may include, without limitation, the Participant’s name, account information, national identification number or equivalent government-issued identifier, tax number and contact information. The Company may process such Personal Data in its legitimate business interests for all purposes relating to the operation and performance of the Plan,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administering and maintaining Participant records;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providing the services described in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providing information to future purchasers or merger partners of the Company or any Affiliate, or the business in which such Participant works;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responding to public authorities, court orders and legal investigations,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required by applicable data protection or privacy law, the Company shall obtain the consent of each Participant, or establish another lawful basis, for the collection, use and disclosure of his or her Personal Data in connection with the Plan prior to or at the time of the grant of any Award to such Participant.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share the Participant’s Personal Data with (i) Affiliates, (ii) trustees of any employee benefit trust, (iii) registrars, (iv) brokers, (v) third party administrators of the Plan, (vi) third party service providers acting on the Company’s behalf to provide the services described above or (vii) regulators and others, as required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Company may transfer the Participant’s Personal Data to any of the parties mentioned above in a country or territory that may not provide the same protection for the information as the Participant’s home country. Any transfer of the Participant’s Personal Data to recipients in a third country will be made subject to appropriate safeguards or applicable derogations provided for under applicable law. With respect to Participants who are based in or whose Personal Data originates from a jurisdiction that imposes restrictions on cross-border transfers of personal data, any such transfer shall be subject to and conducted in compliance with the applicable requirements of the data protection and privacy laws and regulations of such jurisdiction, including, where applicable, any security assessment, standard contractual clauses, regulatory approval or other mechanism required for outbound data transfers; the Committee shall take such requirements into account when structuring Awards for such Participants and shall not cause or permit any transfer of such Personal Data in contravention of applicable law. Further information on applicable safeguards or derogations can be obtained through, and other questions regarding this Section 22 may be directed to, the contact set forth in the Employee Privacy Notice (the “</w:t>
      </w:r>
      <w:r>
        <w:rPr>
          <w:rFonts w:ascii="Times New Roman;Times;Serif" w:hAnsi="Times New Roman;Times;Serif"/>
          <w:b/>
          <w:i w:val="false"/>
          <w:caps w:val="false"/>
          <w:smallCaps w:val="false"/>
          <w:sz w:val="20"/>
        </w:rPr>
        <w:t>Employee Privacy Notice</w:t>
      </w:r>
      <w:r>
        <w:rPr>
          <w:rFonts w:ascii="Times New Roman;Times;Serif" w:hAnsi="Times New Roman;Times;Serif"/>
          <w:b w:val="false"/>
          <w:i w:val="false"/>
          <w:caps w:val="false"/>
          <w:smallCaps w:val="false"/>
          <w:sz w:val="20"/>
        </w:rPr>
        <w:t>”). The Company shall use reasonable endeavors to provide the Employee Privacy Notice to each Participant prior to or at the time of the grant of any Award to such Participant; where no separate Employee Privacy Notice has been provided to a Participant, the disclosures set forth in this Section 22 shall constitute the operative data protection notice to such Participant for the purposes of the Plan and any applicable data protection laws, and the Company shall be deemed to have satisfied its notification obligations under applicable law to the extent that such obligations may be discharged by the terms of this Section 22. Participants have rights with respect to their Personal Data under applicable law, which may include, depending on the jurisdiction, rights of access, correction, deletion, restriction of processing, and data portability; such rights are further described in the Employee Privacy Notice where one has been provided, and, where no Employee Privacy Notice has been provided, Participants may exercise such rights by contacting the Company at the address set forth in Section 21. The terms set forth in this Section 22 are supplementary to the terms set forth in the Employee Privacy Notice; provided that, in the event of any conflict between the terms of this Section 22 and the terms of the Employee Privacy Notice, the terms of this Section 22 shall govern and control in relation to the Plan and any Personal Data of the Participant to the extent collected in connection therewith. Participants who are subject to the data protection or privacy laws of any jurisdiction outside the United States shall have such additional rights as are afforded to them under the applicable legislation of their respective jurisdiction, and the Company shall administer Personal Data in respect of such Participants in a manner consistent with the obligations imposed on data controllers or personal information processors (as applicable) under such legislation.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retain Personal Data collected in connection with the Plan for the duration of the Plan and, thereafter, for such additional period as may be required to satisfy applicable legal, regulatory, tax, accounting or dispute resolution obligations, but in no event longer than is necessary for the purposes for which such Personal Data was collected. With respect to Singapore Participants (as defined in Annex A), the additional data protection provisions set forth in Section 4 of Annex A shall also apply. With respect to Hong Kong Participants (as defined in Annex C), the additional data protection provisions set forth in Section 4 of Annex C shall also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w:t>
        <w:tab/>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and each Award Agreement shall be governed by the internal laws of the State of New York, without application of the conflicts of law principles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all matters relating to the authorization, allotment, issuance, redemption, repurchase, conversion, forfeiture and rights of the Shares, the corporate authority and duties of the Company and its Directors, and any other matter of Cayman Islands company law, shall be governed by and construed in accordance with the Companies Act (Revised) and the laws of the Cayman Islands and the Company’s amended and restated memorandum and articles of association (as amended and/or restated from time to time). With respect to Singapore Participants (as defined in Annex A), the provisions of Section 6 of Annex A regarding mandatory Singapore law shall also apply. With respect to Hong Kong Participants (as defined in Annex C), the provisions of Section 5 of Annex C regarding mandatory Hong Kong law shall also apply. With respect to PRC Participants (as defined in Annex B), the provisions of Section 7 of Annex B regarding mandatory PRC law shall also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 for Singapore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A sets forth the additional terms and conditions that apply to Participants who, at the time of grant, vesting, exercise or settlement of an Award (as applicable): (a) is resident in Singapore for the purposes of the Income Tax Act 1947 (the “</w:t>
      </w:r>
      <w:r>
        <w:rPr>
          <w:rFonts w:ascii="Times New Roman;Times;Serif" w:hAnsi="Times New Roman;Times;Serif"/>
          <w:b/>
          <w:i w:val="false"/>
          <w:caps w:val="false"/>
          <w:smallCaps w:val="false"/>
          <w:sz w:val="20"/>
        </w:rPr>
        <w:t>ITA</w:t>
      </w:r>
      <w:r>
        <w:rPr>
          <w:rFonts w:ascii="Times New Roman;Times;Serif" w:hAnsi="Times New Roman;Times;Serif"/>
          <w:b w:val="false"/>
          <w:i w:val="false"/>
          <w:caps w:val="false"/>
          <w:smallCaps w:val="false"/>
          <w:sz w:val="20"/>
        </w:rPr>
        <w:t>”); (b) is employed in Singapore by the Company or any Subsidiary; or (c) exercises an employment, a directorship or a consultancy in Singapore (“</w:t>
      </w:r>
      <w:r>
        <w:rPr>
          <w:rFonts w:ascii="Times New Roman;Times;Serif" w:hAnsi="Times New Roman;Times;Serif"/>
          <w:b/>
          <w:i w:val="false"/>
          <w:caps w:val="false"/>
          <w:smallCaps w:val="false"/>
          <w:sz w:val="20"/>
        </w:rPr>
        <w:t>Singapore Participants</w:t>
      </w:r>
      <w:r>
        <w:rPr>
          <w:rFonts w:ascii="Times New Roman;Times;Serif" w:hAnsi="Times New Roman;Times;Serif"/>
          <w:b w:val="false"/>
          <w:i w:val="false"/>
          <w:caps w:val="false"/>
          <w:smallCaps w:val="false"/>
          <w:sz w:val="20"/>
        </w:rPr>
        <w:t>”). This Annex A forms part of the Plan and should be read in conjunction with the Plan. In the event of any conflict between the terms of this Annex A and the terms of the Plan, the terms of this Annex A shall prevail with respect to Singapore Participants, to the extent of the inconsistency. Capitalized terms used but not defined in this Annex A shall have the meanings given to them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A contains information of which Singapore Participants should be aware with respect to their participation in the Plan. The information is based on the securities, exchange control, and other laws in effect in the respective countries as of the Effective Date. Singapore Participants should not rely on the information in this Annex A as the only source of information relating to the consequences of their participation in the Plan because the information may be out of date at the time Awards are settled or when Shares acquired thereto are being sold, transferred or otherwise disposed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Annex A is general in nature and may not apply to any Participant’s particular situation, and the Company is not in a position to assure any Participant of a particular result. Accordingly, Participants are advised to seek appropriate professional advice as to how the relevant laws in their country may apply to their situation.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Securities Law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has not been and will not be registered as a prospectus with the Monetary Authority of Singapore. Accordingly, the Plan and any document or material in connection with the offer or sale, or invitation for subscription or purchase, of Awards may not be circulated or distributed, nor may Awards be offered or sold, or be made the subject of an invitation for subscription or purchase, whether directly or indirectly, to any person in Singapore other than pursuant to, and in accordance with the conditions of, an applicable exemption under the Securities and Futures Act 2001 (the “</w:t>
      </w:r>
      <w:r>
        <w:rPr>
          <w:rFonts w:ascii="Times New Roman;Times;Serif" w:hAnsi="Times New Roman;Times;Serif"/>
          <w:b/>
          <w:i w:val="false"/>
          <w:caps w:val="false"/>
          <w:smallCaps w:val="false"/>
          <w:sz w:val="20"/>
        </w:rPr>
        <w:t>SFA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and/or disposal of Shares and/or other securities delivered under the Plan (as may be allowed under the Plan and the Award Agreement and subject to compliance with applicable laws) shall be subject to the condition that the foregoing restrictions shall be imposed on each and every transferee and purchaser, and subsequent transferee and purchaser, of the relevant Shares and/or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Singapore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Awards granted to Singapore Participants are generally subject to income tax under the ITA. Gains or profits arising from any Option, RSA, RSU or other Award granted by reason of any office or employment exercised in Singapore shall be chargeable to tax as employment income under section 10(1)(b) of the ITA. The applicable taxing point and the computation of the taxable gain will depend on the terms of the relevant Award, including whether the Award is subject to any vesting period, selling restrictions, and the date of exercise (in the case of Options). The taxable gain is generally computed by the open market price of the Shares as at the applicable taxing point, less any amount paid for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Tax Clearance and Deemed Exercise Rule.</w:t>
      </w:r>
      <w:r>
        <w:rPr>
          <w:rFonts w:ascii="Times New Roman;Times;Serif" w:hAnsi="Times New Roman;Times;Serif"/>
          <w:b w:val="false"/>
          <w:i w:val="false"/>
          <w:caps w:val="false"/>
          <w:smallCaps w:val="false"/>
          <w:sz w:val="20"/>
        </w:rPr>
        <w:t xml:space="preserve"> In the case of a Singapore Participant who is a foreign (i.e., a non-Singapore Citizen, which includes a Singapore Permanent Resident) employee, where such individual ceases employment in Singapore, goes on an overseas posting or leaves Singapore for more than three (3) months, the Company (or the relevant entity employing the Singapore Participant) is generally required to notify IRAS at least one month in advance of the foreign employee ceasing employment in Singapore or leaving Singapore and withhold all monies due to the departing Singapore Participant for tax clearance purposes, until the employer receives a clearance directive from IRAS directing the employer to pay the tax to IRAS or notifying the employer to release the monies to the foreign employee. Any unexercised, unvested or restricted Options or Awards granted during Singapore employment will be subject to tax on a “deemed exercise” basis under section 10(7) of the ITA. The deemed gain is computed by the open market price of the Shares at the later of (i) one month before the date of cessation of employment in Singapore or (ii) the date the right or benefit to the Shares is granted, less the exercise price or the price paid or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Central Provident Fund (“CPF”).</w:t>
      </w:r>
      <w:r>
        <w:rPr>
          <w:rFonts w:ascii="Times New Roman;Times;Serif" w:hAnsi="Times New Roman;Times;Serif"/>
          <w:b w:val="false"/>
          <w:i w:val="false"/>
          <w:caps w:val="false"/>
          <w:smallCaps w:val="false"/>
          <w:sz w:val="20"/>
        </w:rPr>
        <w:t xml:space="preserve"> Gains from equity-based compensation are generally not subject to CPF contributions where the Award is settled in Shares. However, to the extent that any cash payment or any gains arising from Awards constitute “ordinary wages” or “additional wages” within the meaning of the Central Provident Fund Act 1953 (the “</w:t>
      </w:r>
      <w:r>
        <w:rPr>
          <w:rFonts w:ascii="Times New Roman;Times;Serif" w:hAnsi="Times New Roman;Times;Serif"/>
          <w:b/>
          <w:i w:val="false"/>
          <w:caps w:val="false"/>
          <w:smallCaps w:val="false"/>
          <w:sz w:val="20"/>
        </w:rPr>
        <w:t>CPF Act</w:t>
      </w:r>
      <w:r>
        <w:rPr>
          <w:rFonts w:ascii="Times New Roman;Times;Serif" w:hAnsi="Times New Roman;Times;Serif"/>
          <w:b w:val="false"/>
          <w:i w:val="false"/>
          <w:caps w:val="false"/>
          <w:smallCaps w:val="false"/>
          <w:sz w:val="20"/>
        </w:rPr>
        <w:t>”), the Company (or the relevant Singapore Subsidiary) shall make such CPF contributions as may be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Employment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Contractual Entitlement.</w:t>
      </w:r>
      <w:r>
        <w:rPr>
          <w:rFonts w:ascii="Times New Roman;Times;Serif" w:hAnsi="Times New Roman;Times;Serif"/>
          <w:b w:val="false"/>
          <w:i w:val="false"/>
          <w:caps w:val="false"/>
          <w:smallCaps w:val="false"/>
          <w:sz w:val="20"/>
        </w:rPr>
        <w:t xml:space="preserve"> Awards granted to Singapore Participants shall not form part of the Singapore Participant’s contract of employment or contract for services (as applicable) and shall not constitute a term or condition of employment or service. Nothing in the Plan or any Award Agreement shall be construed as conferring on any Singapore Participant a contractual right to receive future Awards, and the Plan does not create any obligation on the part of the Company or any Subsidiary to continue to grant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Termination of Employment.</w:t>
      </w:r>
      <w:r>
        <w:rPr>
          <w:rFonts w:ascii="Times New Roman;Times;Serif" w:hAnsi="Times New Roman;Times;Serif"/>
          <w:b w:val="false"/>
          <w:i w:val="false"/>
          <w:caps w:val="false"/>
          <w:smallCaps w:val="false"/>
          <w:sz w:val="20"/>
        </w:rPr>
        <w:t xml:space="preserve"> In the event of a Termination of Service of a Singapore Participant, the treatment of any outstanding Awards shall be determined in accordance with Section 12 of the Plan and the applicable Award Agreement. For the avoidance of doubt: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termination of employment of a Singapore Participant by the Company or any Subsidiary shall be carried out in compliance with the Employment Act 1968 of Singapore (the “</w:t>
      </w:r>
      <w:r>
        <w:rPr>
          <w:rFonts w:ascii="Times New Roman;Times;Serif" w:hAnsi="Times New Roman;Times;Serif"/>
          <w:b/>
          <w:i w:val="false"/>
          <w:caps w:val="false"/>
          <w:smallCaps w:val="false"/>
          <w:sz w:val="20"/>
        </w:rPr>
        <w:t>EA</w:t>
      </w:r>
      <w:r>
        <w:rPr>
          <w:rFonts w:ascii="Times New Roman;Times;Serif" w:hAnsi="Times New Roman;Times;Serif"/>
          <w:b w:val="false"/>
          <w:i w:val="false"/>
          <w:caps w:val="false"/>
          <w:smallCaps w:val="false"/>
          <w:sz w:val="20"/>
        </w:rPr>
        <w:t>”), to the extent applicable, including any requirements as to notice periods and the payment of salary in lieu of notice;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forfeiture or cancellation of Awards upon a Termination of Service for Cause shall not affect any rights or claims that the Singapore Participant may have under the EA or at common law; and</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nothing in the Plan shall limit or affect any statutory rights of a Singapore Participant under the 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Data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terms of Section 22 of the Plan, the processing of Personal Data of Singapore Participants shall be carried out in compliance with the Personal Data Protection Act 2012 of Singapore (the “</w:t>
      </w:r>
      <w:r>
        <w:rPr>
          <w:rFonts w:ascii="Times New Roman;Times;Serif" w:hAnsi="Times New Roman;Times;Serif"/>
          <w:b/>
          <w:i w:val="false"/>
          <w:caps w:val="false"/>
          <w:smallCaps w:val="false"/>
          <w:sz w:val="20"/>
        </w:rPr>
        <w:t>PDPA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implement and maintain reasonable security arrangements to protect Personal Data in the Company’s possession or under its control, in order to prevent unauthorized access, collection, use, disclosure, copying, modification or disposal, or similar risks for the Personal Data, and the loss of any storage medium or device on which the Personal Data is stored.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obtain the consent of each Singapore Participant for the collection, use and disclosure of his or her Personal Data in connection with the Plan, unless an exception under the PDPA applies (including, without limitation, the business improvement exception or the evaluative purpose exception under Part 4 of the First Schedule to the PDPA).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transfer of a Singapore Participant’s Personal Data to a recipient outside Singapore shall be made in compliance with section 26 of the PDPA, and the Company shall ensure that the recipient provides a standard of protection to such Personal Data that is at least comparable to the protection under the PDPA, whether by contractual arrangements or other legally binding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Director Notification Obligations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Singapore Participant is a Director (as defined in the Companies Act 1967 of Singapore) of a Singapore-incorporated subsidiary of the Company, such Singapore Participant shall be required to notify the relevant Singapore-incorporated subsidiary of his or her interest in the Shares of the Company within two (2) business days of (i) the grant of any Award, (ii) the acquisition of Shares pursuant to the vesting, exercise or settlement of any Award, or (iii) any subsequent disposal of such Shares, in accordance with section 164 of the Companies Act 1967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Governing Law and Mandatory Singapore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New York law as the governing law of the Plan pursuant to Section 23 shall be without prejudice to the mandatory provisions of Singapore law that apply to Singapore Participants by operation of law and that cannot be excluded or modified by contract, including, without limitation, the applicable provisions of the EA, the ITA, the CPF Act, the SFA and the PDPA. To the extent that any provision of the Plan or any Award Agreement is inconsistent with any such mandatory provision of Singapore law, the mandatory provision of Singapore law shall prevail.</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Country-Specific Terms and Conditions for PRC Participants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B sets forth the additional terms and conditions that apply to Participants who, at the time of grant, vesting, exercise or settlement of an Award (as applicable): (a) are nationals of the People’s Republic of China (for the purposes of this Annex B, “PRC” or “China” refers to Mainland China, excluding the Hong Kong Special Administrative Region, the Macau Special Administrative Region and Taiwan); (b) are tax residents of the PRC for the purposes of the Individual Income Tax Law of the People’s Republic of China (the “PIT Law”); or (c) are otherwise subject to PRC tax, foreign exchange, securities or data protection laws in connection with their participation in the Plan (“PRC Participants”). This Annex B forms part of the Plan and should be read in conjunction with the Plan. In the event of any conflict between the terms of this Annex B and the terms of the Plan, the terms of this Annex B shall prevail with respect to PRC Participants, to the extent of the inconsistency. Capitalized terms used but not defined in this Annex B shall have the meanings given to them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B contains information of which PRC Participants should be aware with respect to their participation in the Plan. The information is based on the tax, foreign exchange, securities, employment and data protection laws of the PRC in effect as of the Effective Date. PRC Participants should not rely on the information in this Annex B as the only source of information relating to the consequences of their participation in the Plan because the information may be out of date at the time Awards are granted, exercised or settled or when Shares acquired pursuant thereto are sold, transferred or otherwise disposed of. The information contained in this Annex B is general in nature and may not apply to any PRC Participant’s particular situation. Accordingly, PRC Participants are advised to seek appropriate professional advice as to how the relevant PRC laws may apply to their situation.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9"/>
        <w:gridCol w:w="9493"/>
      </w:tblGrid>
      <w:tr>
        <w:trPr/>
        <w:tc>
          <w:tcPr>
            <w:tcW w:w="1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b/>
              </w:rPr>
            </w:pPr>
            <w:r>
              <w:rPr>
                <w:b/>
              </w:rPr>
              <w:t>1.</w:t>
            </w:r>
          </w:p>
        </w:tc>
        <w:tc>
          <w:tcPr>
            <w:tcW w:w="9493" w:type="dxa"/>
            <w:tcBorders/>
            <w:vAlign w:val="center"/>
          </w:tcPr>
          <w:p>
            <w:pPr>
              <w:pStyle w:val="TableContents"/>
              <w:bidi w:val="0"/>
              <w:spacing w:before="0" w:after="283"/>
              <w:jc w:val="both"/>
              <w:rPr>
                <w:b/>
              </w:rPr>
            </w:pPr>
            <w:r>
              <w:rPr>
                <w:b/>
              </w:rPr>
              <w:t>Foreign Exchange Compliance</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PRC Participants acknowledge and agree that, pursuant to the Notice of the State Administration of Foreign Exchange on Issues Concerning Foreign Exchange Management for Domestic Individuals Participating in Equity Incentive Plans of Overseas-Listed Companies (Hui Fa [2012] No. 7) (“Circular 7”), the foreign exchange registration for equity incentive plans of overseas-listed companies is required to be processed through an affiliated domestic company of the overseas-listed company by a single domestic agent. As of the Effective Date, the Company does not have an affiliated domestic company or subsidiary incorporated in the PRC that could serve as the domestic agent for the purposes of Circular 7. Accordingly, it is not possible to complete the special foreign exchange registration for the Plan or to open a dedicated foreign exchange account for PRC Participants under Circular 7.</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PRC Participants shall not use any bank account or payment account maintained in Mainland China to purchase foreign exchange, receive proceeds or conduct any other transaction in connection with the Plan, including the exercise of Options, the settlement of Awards or the receipt of dividends or sale proceeds. All transactions in connection with the Plan shall be conducted through overseas bank accounts maintained by the PRC Participant outside Mainland China.</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PRC Participants acknowledge that, pursuant to Article 17 of the Regulations of the People’s Republic of China on Foreign Exchange Administration, domestic institutions and individuals that make direct investments abroad or engage in the issuance or trading of foreign securities or derivatives shall complete registration in accordance with the provisions of the State Council’s foreign exchange management department. PRC Participants shall not circumvent foreign exchange controls by splitting their annual individual foreign exchange convenience quota or by any other non-compliant means. The repatriation of any foreign exchange proceeds to the PRC requires compliance with applicable authenticity declaration obligations. PRC Participants shall bear all risks, costs and consequences arising from or in connection with foreign exchange compliance, including any penalties imposed by the State Administration of Foreign Exchange or other competent authorities for non-compliance. The Company shall have no liability to any PRC Participant in respect of any foreign exchange compliance matters.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161"/>
        <w:gridCol w:w="8824"/>
      </w:tblGrid>
      <w:tr>
        <w:trPr/>
        <w:tc>
          <w:tcPr>
            <w:tcW w:w="2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b/>
              </w:rPr>
            </w:pPr>
            <w:r>
              <w:rPr>
                <w:b/>
              </w:rPr>
              <w:t>2.</w:t>
            </w:r>
          </w:p>
        </w:tc>
        <w:tc>
          <w:tcPr>
            <w:tcW w:w="8824" w:type="dxa"/>
            <w:tcBorders/>
            <w:vAlign w:val="center"/>
          </w:tcPr>
          <w:p>
            <w:pPr>
              <w:pStyle w:val="TableContents"/>
              <w:bidi w:val="0"/>
              <w:spacing w:before="0" w:after="283"/>
              <w:jc w:val="left"/>
              <w:rPr>
                <w:b/>
              </w:rPr>
            </w:pPr>
            <w:r>
              <w:rPr>
                <w:b/>
              </w:rPr>
              <w:t>PRC Taxation</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No Withholding Obligation. PRC Participants acknowledge and agree that the Company is a non-resident enterprise with no permanent establishment or business entity within the PRC and is not a statutory withholding agent for PRC individual income tax purposes. Notwithstanding Section 15(e) of the Plan or any other provision of the Plan or any Award Agreement to the contrary, the Company shall have no obligation to withhold, report or remit PRC individual income tax in respect of any Award granted, vested, exercised or settled under the Plan, or in respect of any dividends, gains or other income arising therefrom.</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 xml:space="preserve">No Taxable Event at Grant or Vesting (except for Restricted Stock Awards (RSA)). PRC Participants acknowledge that, under PRC tax law, no taxable income is generally generated at the time of grant of an Award, as the grant of an Option or other Award (other than an RSA) does not constitute the receipt of income. With respect to RSAs, the taxable event generally arises on the date on which the applicable restrictions are released (rather than the grant date, even though the PRC Participant may become a registered shareholder at grant); </w:t>
            </w:r>
            <w:r>
              <w:rPr>
                <w:i/>
              </w:rPr>
              <w:t>provided, however</w:t>
            </w:r>
            <w:r>
              <w:rPr/>
              <w:t>, that if the grant of an RSA and the related materials have not been duly reported or filed by a PRC domestic company with the competent PRC tax authorities, the taxable event may, in practice, be deemed by the PRC tax authorities to occur on the grant date. Similarly, the vesting of an Award (other than an RSA to the extent described above) involves only the internal unlocking of equity rights and does not constitute actual payment of income, and accordingly does not trigger any PRC individual income tax liability. PRC individual income tax liability arises only upon the exercise of an Option (or settlement of another Award), the release of restrictions on an RSA, the receipt of dividends or the sale or transfer of Shares, as further described below.</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both"/>
              <w:rPr/>
            </w:pPr>
            <w:r>
              <w:rPr/>
              <w:t>Self-Filing Obligation. Each PRC Participant shall be solely responsible for the declaration, filing and payment of all PRC individual income tax arising from or in connection with the grant, vesting, exercise or settlement of any Award, including tax on Option exercise gains (being the difference between the Fair Market Value of the Shares on the date of exercise and the exercise price), gains on RSAs (being the difference between the Fair Market Value of the Shares on the date of release of restrictions (or, where applicable, the grant date as described in Section 2(b) above) and any amount paid by the PRC Participant for such Shares), dividends received in respect of Shares, and gains from the sale or transfer of Shares. Such tax obligations shall be fulfilled by the PRC Participant through the annual individual income tax settlement and reconciliation filing during the period from March 1 to June 30 of the year following the year in which the relevant income is received, in accordance with the PIT Law and the Announcement of the Ministry of Finance and the State Taxation Administration on Personal Income Tax Policies Concerning Overseas Income (Cai Shui [2020] No. 3). PRC Participants may apply for a foreign tax credit based on tax payment certificates issued by the relevant overseas tax authority, subject to the limitations prescribed by PRC law. PRC Participants shall properly retain their foreign tax payment certificates for their own records, as these will serve as the basis for applying for such foreign tax credits.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Inapplicability of Preferential Tax Treatment. PRC Participants acknowledge that the preferential individual income tax treatment applicable to equity incentive plans of domestic enterprises (including the separate taxation method under Circular 35 (Cai Shui [2005] No. 35), Circular 5 (Cai Shui [2009] No. 5) and Announcement 25 (Announcement No. 25 of 2023 of the Ministry of Finance and the State Taxation Administration), which is the latest policy extending the separate taxation method for equity incentive income) is not available in respect of Awards granted under the Plan. The State Taxation Administration Circular [2009] No. 461 stipulates that the individual income tax policy for equity incentives applies to employees of listed companies (including their branches) and enterprises controlled by listed companies, provided that the listed company holds at least a 30 percent stake in the controlled enterprise. The Company has no branches or controlled enterprises in the PRC, and PRC Participants enter into contracts directly with the Company as independent service providers; accordingly, they do not fall within the scope of application specified in the aforementioned circulars.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PRC Tax Classification. PRC Participants acknowledge that PRC tax law does not distinguish between Incentive Stock Options and Non-Qualified Stock Options for the purpose of preferential tax treatment. Income arising from the exercise of Options shall be classified as “wages and salaries” or “remuneration for labor services” based on the nature of the legal relationship between the PRC Participant and the Company or any Subsidiary, as determined under PRC law. The tax deferral rules under Section 409A of the Code have no legal basis or application in the PRC, and PRC Participants shall not rely on any such deferral mechanism for PRC tax purposes.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(f)</w:t>
            </w:r>
          </w:p>
        </w:tc>
        <w:tc>
          <w:tcPr>
            <w:tcW w:w="9984" w:type="dxa"/>
            <w:tcBorders/>
            <w:vAlign w:val="center"/>
          </w:tcPr>
          <w:p>
            <w:pPr>
              <w:pStyle w:val="TableContents"/>
              <w:bidi w:val="0"/>
              <w:spacing w:before="0" w:after="283"/>
              <w:jc w:val="both"/>
              <w:rPr/>
            </w:pPr>
            <w:r>
              <w:rPr/>
              <w:t>Clawback and Tax Adjustments. PRC Participants acknowledge that PRC tax law does not currently provide a mechanism for tax refunds or credits corresponding to the clawback or recoupment of equity-based compensation under Section 18 of the Plan. In the event that any Award is subject to clawback or recoupment, the PRC Participant shall bear all risks and consequences relating to the recovery or adjustment of any PRC individual income tax previously paid in respect of such Award.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(g)</w:t>
            </w:r>
          </w:p>
        </w:tc>
        <w:tc>
          <w:tcPr>
            <w:tcW w:w="9940" w:type="dxa"/>
            <w:tcBorders/>
            <w:vAlign w:val="center"/>
          </w:tcPr>
          <w:p>
            <w:pPr>
              <w:pStyle w:val="TableContents"/>
              <w:bidi w:val="0"/>
              <w:spacing w:before="0" w:after="283"/>
              <w:jc w:val="both"/>
              <w:rPr/>
            </w:pPr>
            <w:r>
              <w:rPr/>
              <w:t>Company Cooperation. The Company shall use reasonable endeavors to cooperate with PRC Participants by providing supporting documents reasonably required for the PRC Participant’s tax filing obligations, including exercise and settlement vouchers, proof of tax payment overseas and such other documentation as may be reasonably requested, provided that such cooperation shall constitute a contractual obligation of the Company and shall not be construed as an assumption of any statutory regulatory obligation within the PRC.</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b/>
              </w:rPr>
            </w:pPr>
            <w:r>
              <w:rPr>
                <w:b/>
              </w:rPr>
              <w:t>3.</w:t>
            </w:r>
          </w:p>
        </w:tc>
        <w:tc>
          <w:tcPr>
            <w:tcW w:w="9409" w:type="dxa"/>
            <w:tcBorders/>
            <w:vAlign w:val="center"/>
          </w:tcPr>
          <w:p>
            <w:pPr>
              <w:pStyle w:val="TableContents"/>
              <w:bidi w:val="0"/>
              <w:spacing w:before="0" w:after="283"/>
              <w:jc w:val="left"/>
              <w:rPr>
                <w:b/>
              </w:rPr>
            </w:pPr>
            <w:r>
              <w:rPr>
                <w:b/>
              </w:rPr>
              <w:t>Securities Law Compliance</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The grant of Awards and the issuance of Shares under the Plan constitute an offshore securities arrangement. The issuance of the offer, the execution of Award Agreements, the delivery of rights and the settlement of funds are all completed outside the PRC. Each PRC Participant, by accepting an Award, acknowledges and represents that he or she received the offer of equity incentives outside of the PRC and did not receive such offer through any channels within the PRC. Accordingly, the grant of Awards under the Plan does not constitute the issuance of securities within the territory of the PRC within the meaning of Article 2 of the Securities Law of the People’s Republic of China, and no filing, registration or approval with the China Securities Regulatory Commission or any other PRC securities regulatory authority is required prior to or in connection with the grant, vesting, exercise or settlement of any Award.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The Company shall not conduct any promotional activities for Awards through domestic affiliates or domestic channels within the PRC, nor shall Awards be made available to the general public within the PRC. The offshore character of the offering under Regulation S under the U.S. Securities Act of 1933, as amended, shall be maintained at all times.</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539"/>
        <w:gridCol w:w="9564"/>
      </w:tblGrid>
      <w:tr>
        <w:trPr/>
        <w:tc>
          <w:tcPr>
            <w:tcW w:w="10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b/>
              </w:rPr>
            </w:pPr>
            <w:r>
              <w:rPr>
                <w:b/>
              </w:rPr>
              <w:t>4.</w:t>
            </w:r>
          </w:p>
        </w:tc>
        <w:tc>
          <w:tcPr>
            <w:tcW w:w="9564" w:type="dxa"/>
            <w:tcBorders/>
            <w:vAlign w:val="center"/>
          </w:tcPr>
          <w:p>
            <w:pPr>
              <w:pStyle w:val="TableContents"/>
              <w:bidi w:val="0"/>
              <w:spacing w:before="0" w:after="283"/>
              <w:jc w:val="left"/>
              <w:rPr>
                <w:b/>
              </w:rPr>
            </w:pPr>
            <w:r>
              <w:rPr>
                <w:b/>
              </w:rPr>
              <w:t>Independent Services Relationship</w:t>
            </w:r>
          </w:p>
        </w:tc>
      </w:tr>
    </w:tbl>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PRC Participants acknowledge and agree that Awards are granted pursuant to an independent services agreement (or similar arrangement) between the PRC Participant and the Company, and not pursuant to an employment relationship. The grant of Awards under the Plan shall not constitute, and shall not be construed as constituting, grounds for recognizing a de facto employment relationship between the PRC Participant and the Company or any Subsidiary under the Labor Contract Law of the People’s Republic of China or any other PRC employment law.</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The grant and vesting of Awards is contingent upon the continued performance of services by the PRC Participant under the applicable services agreement. In the event that the services agreement between the PRC Participant and the Company (or any Subsidiary) is terminated for any reason, all unvested Awards held by such PRC Participant shall be forfeited in accordance with the terms of the Plan and the applicable Award Agreement, and the PRC Participant shall have no claim for compensation or damages in respect of such forfeiture.</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t>Each PRC Participant, by accepting an Award, confirms that the PRC Participant’s participation in the Plan is voluntary and that the PRC Participant waives, to the maximum extent permitted by applicable law, any claim against the Company or any Subsidiary based on the existence of an employment relationship in connection with the grant, vesting, exercise, settlement or forfeiture of any Award. The Company acknowledges that the foregoing waiver may not be enforceable in all circumstances under PRC law and that PRC courts may, notwithstanding such waiver, determine that an employment relationship exists based on the facts and circumstances of the arrangement.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560"/>
        <w:gridCol w:w="8349"/>
      </w:tblGrid>
      <w:tr>
        <w:trPr/>
        <w:tc>
          <w:tcPr>
            <w:tcW w:w="29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b/>
              </w:rPr>
            </w:pPr>
            <w:r>
              <w:rPr>
                <w:b/>
              </w:rPr>
              <w:t>5.</w:t>
            </w:r>
          </w:p>
        </w:tc>
        <w:tc>
          <w:tcPr>
            <w:tcW w:w="8349" w:type="dxa"/>
            <w:tcBorders/>
            <w:vAlign w:val="center"/>
          </w:tcPr>
          <w:p>
            <w:pPr>
              <w:pStyle w:val="TableContents"/>
              <w:bidi w:val="0"/>
              <w:spacing w:before="0" w:after="283"/>
              <w:jc w:val="left"/>
              <w:rPr>
                <w:b/>
              </w:rPr>
            </w:pPr>
            <w:r>
              <w:rPr>
                <w:b/>
              </w:rPr>
              <w:t>Clawback</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clawback and recoupment provisions set forth in Section 18 of the Plan shall apply to PRC Participants; provided, however, that PRC Participants acknowledge that PRC law does not currently provide a mechanism for the refund or credit of PRC individual income tax previously paid in respect of any Award that is subsequently subject to clawback or recoupment. The Company shall have no obligation to compensate any PRC Participant for any PRC tax previously paid in respect of any Award that is clawed back or recouped, and the PRC Participant shall bear all risks and consequences in connection therewith.</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b/>
              </w:rPr>
            </w:pPr>
            <w:r>
              <w:rPr>
                <w:b/>
              </w:rPr>
              <w:t>6.</w:t>
            </w:r>
          </w:p>
        </w:tc>
        <w:tc>
          <w:tcPr>
            <w:tcW w:w="8912" w:type="dxa"/>
            <w:tcBorders/>
            <w:vAlign w:val="center"/>
          </w:tcPr>
          <w:p>
            <w:pPr>
              <w:pStyle w:val="TableContents"/>
              <w:bidi w:val="0"/>
              <w:spacing w:before="0" w:after="283"/>
              <w:jc w:val="left"/>
              <w:rPr>
                <w:b/>
              </w:rPr>
            </w:pPr>
            <w:r>
              <w:rPr>
                <w:b/>
              </w:rPr>
              <w:t>Data Protection</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In addition to the terms of Section 22 of the Plan, the processing of Personal Data of PRC Participants shall be carried out in compliance with the Personal Information Protection Law of the People’s Republic of China (the “PIPL”), the Data Security Law of the People’s Republic of China and other applicable PRC data protection laws and regulations.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Pursuant to Articles 28 and 29 of the PIPL, financial account information (including bank account details used for payment settlement) and tax identification information constitute sensitive personal information. The Company shall obtain the separate consent of each PRC Participant prior to the collection, use or processing of any such sensitive personal information in connection with the Plan. Such separate consent shall be in addition to any general consent obtained under Section 22 of the Plan and shall specifically identify the categories of sensitive personal information to be processed, the purposes of processing, the methods of processing and the potential impact on the PRC Participant’s rights and interests.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Where Personal Data of a PRC Participant is provided to an independent personal information processor (including any Affiliate, trustee, broker, third-party administrator or other recipient that is not acting as a commissioned processor on behalf of the Company), the Company shall, in accordance with Article 23 of the PIPL, inform the PRC Participant of the name of the recipient, contact information, purpose of processing, method of processing and types of personal information to be provided, and shall obtain the PRC Participant’s separate consent prior to such provision. Where Personal Data is transferred to a commissioned processor, the Company shall comply with the obligations to inform and supervise as set forth in Article 21 of the PIPL.</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t>Pursuant to Article 39 of the PIPL, where the Company transfers Personal Data of a PRC Participant outside the territory of the PRC, the Company shall inform the PRC Participant of the name or surname of the overseas recipient, contact information, purpose of processing, method of processing, types of personal information and the manner and procedures for the PRC Participant to exercise his or her rights under the PIPL vis-à-vis the overseas recipient, and shall obtain the PRC Participant’s separate consent. Such cross-border transfer consent cannot be substituted by the contractual performance exception or by standard contractual clauses alone.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To the extent that any domestic affiliate or entity within the PRC is involved in the collection or processing of Personal Data of PRC Participants and transfers such data overseas, such domestic entity shall, in accordance with the Measures for Standard Contracts on Cross-Border Transfer of Personal Information, enter into a standard contract for the cross-border transfer of personal information and complete the filing procedure with the provincial-level cyberspace administration department. Where no domestic entity is involved in the processing and data is submitted directly by PRC Participants to overseas systems, the filing obligation for domestic processors shall not be triggered; provided, however, that the Company, as an overseas processor, shall comply with the general compliance requirements of the PIPL.</w:t>
            </w:r>
          </w:p>
        </w:tc>
      </w:tr>
    </w:tbl>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both"/>
              <w:rPr/>
            </w:pPr>
            <w:r>
              <w:rPr/>
              <w:t>The Company shall implement and maintain reasonable security arrangements to protect Personal Data of PRC Participants in the Company’s possession or under its control, in order to prevent unauthorized access, collection, use, disclosure, copying, modification, disposal or similar risks, and the loss of any storage medium or device on which such Personal Data is stored.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440"/>
        <w:gridCol w:w="9682"/>
      </w:tblGrid>
      <w:tr>
        <w:trPr/>
        <w:tc>
          <w:tcPr>
            <w:tcW w:w="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7.</w:t>
            </w:r>
          </w:p>
        </w:tc>
        <w:tc>
          <w:tcPr>
            <w:tcW w:w="9682" w:type="dxa"/>
            <w:tcBorders/>
            <w:vAlign w:val="center"/>
          </w:tcPr>
          <w:p>
            <w:pPr>
              <w:pStyle w:val="TableContents"/>
              <w:bidi w:val="0"/>
              <w:spacing w:before="0" w:after="283"/>
              <w:jc w:val="left"/>
              <w:rPr>
                <w:b/>
              </w:rPr>
            </w:pPr>
            <w:r>
              <w:rPr>
                <w:b/>
              </w:rPr>
              <w:t>Governing Law and Mandatory PRC Law</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New York law as the governing law of the Plan pursuant to Section 23 shall be without prejudice to the mandatory provisions of PRC law that apply to PRC Participants by operation of law and that cannot be excluded or modified by contract, including, without limitation, the applicable provisions of the PIT Law, the Regulations of the People’s Republic of China on Foreign Exchange Administration, the Securities Law of the People’s Republic of China, the Labor Contract Law of the People’s Republic of China, Provisions of the State Council on Outbound Investment, the PIPL and the Data Security Law of the People’s Republic of China. To the extent that any provision of the Plan or any Award Agreement is inconsistent with any such mandatory provision of PRC law, the mandatory provision of PRC law shall prevail.</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b/>
              </w:rPr>
            </w:pPr>
            <w:r>
              <w:rPr>
                <w:b/>
              </w:rPr>
              <w:t>8.</w:t>
            </w:r>
          </w:p>
        </w:tc>
        <w:tc>
          <w:tcPr>
            <w:tcW w:w="9237" w:type="dxa"/>
            <w:tcBorders/>
            <w:vAlign w:val="center"/>
          </w:tcPr>
          <w:p>
            <w:pPr>
              <w:pStyle w:val="TableContents"/>
              <w:bidi w:val="0"/>
              <w:spacing w:before="0" w:after="283"/>
              <w:jc w:val="both"/>
              <w:rPr>
                <w:b/>
              </w:rPr>
            </w:pPr>
            <w:r>
              <w:rPr>
                <w:b/>
              </w:rPr>
              <w:t>Changes in PRC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change in PRC laws, regulations, tax policies or regulatory requirements that affects the terms and conditions set forth in this Annex B, the Company reserves the right, in accordance with Section 14 of the Plan, to amend, alter or supplement this Annex B as necessary to ensure compliance with such changed PRC laws, regulations, tax policies or regulatory requirements. PRC Participants shall cooperate with the Company in connection with any such amendment, including by providing such information and executing such documents as may be reasonably required. Any such amendment shall be communicated to affected PRC Participants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 for Hong Kong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C sets forth the additional terms and conditions that apply to Participants who, at the time of grant, vesting, exercise or settlement of an Award (as applicable): (a) are employed in Hong Kong by the Company or any Subsidiary; (b) hold a directorship in Hong Kong with the Company or any Subsidiary; or (c) provide services in Hong Kong to the Company or any Subsidiary (“Hong Kong Participants”). This Annex C forms part of the Plan and should be read in conjunction with the Plan. In the event of any conflict between the terms of this Annex C and the terms of the Plan, the terms of this Annex C shall prevail with respect to Hong Kong Participants, to the extent of the inconsistency. Capitalized terms used but not defined in this Annex C shall have the meanings given to them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C contains information of which Hong Kong Participants should be aware with respect to their participation in the Plan. The information is based on the tax, securities, employment and data protection laws of Hong Kong in effect as of the Effective Date. Hong Kong Participants should not rely on the information in this Annex C as the only source of information relating to the consequences of their participation in the Plan because the information may be out of date at the time Awards are granted, exercised or settled or when Shares acquired pursuant thereto are sold, transferred or otherwise disposed of. The information contained in this Annex C is general in nature and may not apply to any Hong Kong Participant’s particular situation. Accordingly, Hong Kong Participants are advised to seek appropriate professional advice as to how the relevant Hong Kong laws may apply to their situation.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Securities Law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formal filing, registration or prospectus approval with the Securities and Futures Commission of Hong Kong is required before or after the grant of Awards to Hong Kong Participants under the Plan. The grant of Awards under the Plan is not subject to the prospectus requirements of the Companies (Winding Up and Miscellaneous Provisions) Ordinance (Cap. 32) or the Securities and Futures Ordinance (Cap. 571) of Hong Kong, provided that Awards are granted to Hong Kong Participants in their capacity as Employees, non-employee Directors or Consultants of the Company or any Subsidiary and are not offered to the public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Hong Kong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Awards granted to Hong Kong Participants are subject to salaries tax under the Inland Revenue Ordinance (Cap. 112) of Hong Kong (the “IRO”). The taxable event for Options arises upon exercise (being the difference between the Fair Market Value of the Shares on the date of exercise and the exercise price paid). The taxable event for RSUs and RSAs arises upon vesting or allocation (being the Fair Market Value of the Shares on the date of vesting or allocation). No taxable event arises at the time of grant of any Award. No tax withholding obligation is imposed on the employer under the IRO; however, the employer has statutory reporting obligations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Employer Reporting Obligations. The Company (or the relevant Subsidiary employing or engaging the Hong Kong Participant in Hong Kong) shall comply with the following statutory reporting obligations under the IRO:</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At Grant: include in the annual Employer’s Return (Form BIR56A) the relevant Hong Kong Participants’ names, Hong Kong Identity Card or passport numbers, details of Awards granted and the name of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At Exercise of Options or Vesting of RSUs: report Option exercise gains and RSU vesting or delivery of Shares annually in the Employer’s Return of Remuneration and Pensions (Form IR56B) for continuing Employees; and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On Cessation of Employment or Permanent Departure from Hong Kong: if a Hong Kong Participant leaves employment or permanently departs Hong Kong while holding outstanding Awards, the relevant Subsidiary shall submit Form IR56F (cessation of employment) or Form IR56G (departure from Hong Kong) to the Inland Revenue Department (“IRD”), as applicable, in accordance with the IRO.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 Clearance. In the case of a Hong Kong Participant who ceases employment in Hong Kong or who intends to permanently depart Hong Kong while holding outstanding Awards, the relevant Subsidiary employing or engaging the Hong Kong Participant shall have the statutory right under the IRO to freeze or withhold any delivery of Shares, settlement funds or other monies due to such Hong Kong Participant for a period of up to thirty (30) days (or such longer period as may be required by the IRD) pending receipt of a letter of release or tax clearance direction from the IRD. Each Hong Kong Participant, by accepting an Award, acknowledges and agrees that the relevant Subsidiary may exercise such right and that any delay in the delivery of Shares or settlement of Awards resulting from such tax clearance process shall not constitute a breach of the Plan or any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Capital Gains Tax. Hong Kong does not impose capital gains tax on the relevant Subsidiary or the Hong Kong Participant.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Employment Law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Contractual Entitlement. Awards granted to Hong Kong Participants shall not form part of the Hong Kong Participant’s contract of employment or contract for services (as applicable) and shall not constitute a term or condition of employment or service. Nothing in the Plan or any Award Agreement shall be construed as conferring on any Hong Kong Participant a contractual right to receive future Awards, and the Plan does not create any obligation on the part of the Company or any Subsidiary to continue to grant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Termination of Employment. In the event of a Termination of Service of a Hong Kong Participant, the treatment of any outstanding Awards shall be determined in accordance with Section 12 of the Plan and the applicable Award Agreement. For the avoidance of doubt, the termination of employment of a Hong Kong Participant by the Subsidiary shall be carried out in compliance with the Employment Ordinance (Cap. 57) of Hong Kong (the “EO”), to the extent applicable, including any requirements as to notice periods and the payment of wages in lieu of notice, and nothing in the Plan shall limit or affect any statutory rights of a Hong Kong Participant under the EO.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Data Protection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terms of Section 22 of the Plan, the processing of Personal Data of Hong Kong Participants shall be carried out in compliance with the Personal Data (Privacy) Ordinance (Cap. 486) of Hong Kong (the “PDPO”).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accordance with Data Protection Principle 1 of Schedule 1 to the PDPO, the Company shall, on or before the first collection of Personal Data from a Hong Kong Participant in connection with the Plan, explicitly or implicitly inform such Hong Kong Participant of (i) whether it is obligatory or voluntary for him or her to supply the data; and (ii) where it is obligatory for him or her to supply the data, the consequences for him or her if he or she fails to supply the data; and explicitly inform such Hong Kong Participant of: (i) the purpose for which the Personal Data is to be used; (ii) the classes of persons to whom the Personal Data may be transferred; and (iii) the rights of the Hong Kong Participant to request access to and correction of his or her Personal Data and the contact details of the person to whom such requests may be made.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use and transfer of Personal Data in connection with the Plan, it is recommended that the Company obtain from Hong Kong Participants express consents in writing to: (i) the collection, use and processing of his or her Personal Data (including but not limited to sensitive personal information such as Hong Kong Identity Card number, tax file number and bank account details) by the Company and its Affiliates, third-party plan administrators and service providers for the purposes of administering the Plan, complying with the employer’s statutory reporting obligations under the IRO (including the filing of Forms BIR56A, IR56B, IR56F and IR56G) and satisfying applicable legal and regulatory requirements; and (ii) the transfer of his or her Personal Data to recipients outside Hong Kong (including to the Company’s offices, Affiliates, brokers, registrars and third-party administrators located outside Hong Kong) for the purposes described in Section 22 of the Plan, provided that the Company shall take all practicable steps to ensure that such Personal Data is not used for any purpose other than the purpose for which it was originally collected or a directly related purpose, in accordance with Data Protection Principle 3 of Schedule 1 to the PDPO.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notification to or registration with the Office of the Privacy Commissioner for Personal Data, Hong Kong is required in connection with any transfer of Personal Data to recipients outside Hong Kong under the Plan.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Governing Law and Mandatory Hong Kong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New York law as the governing law of the Plan pursuant to Section 23 shall be without prejudice to the mandatory provisions of Hong Kong law that apply to Hong Kong Participants by operation of law and that cannot be excluded or modified by contract, including, without limitation, the applicable provisions of the IRO, the EO and the PDPO. To the extent that any provision of the Plan or any Award Agreement regarding Hong Kong Participants is inconsistent with any such mandatory provision of Hong Kong law, the mandatory provision of Hong Kong law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30706201ex23-1.htm"/>
      <w:bookmarkStart w:id="8" w:name="ksea030706201ex231"/>
      <w:bookmarkEnd w:id="7"/>
      <w:bookmarkEnd w:id="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April 28, 2026 with respect to the audited consolidated financial statements of BGIN BLOCKCHAIN LIMITED, which appears in BGIN BLOCKCHAIN LIMITED’s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9" w:name="ea030706201ex23-2.htm"/>
      <w:bookmarkStart w:id="10" w:name="ksea030706201ex232"/>
      <w:bookmarkEnd w:id="9"/>
      <w:bookmarkEnd w:id="10"/>
      <w:r>
        <w:rPr>
          <w:b/>
        </w:rPr>
        <w:t>Exhibit 23.2</w:t>
      </w:r>
      <w:r>
        <w:br w:type="page"/>
      </w:r>
    </w:p>
    <w:p>
      <w:pPr>
        <w:pStyle w:val="TextBody"/>
        <w:bidi w:val="0"/>
        <w:spacing w:before="0" w:after="283"/>
        <w:jc w:val="left"/>
        <w:rPr/>
      </w:pPr>
      <w:r>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59436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5943600" cy="476250"/>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Shareholders and Board of Directors of</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(to be filed on September 30, 2026) on Form S-8 with the U.S. Securities and Exchange Commission of BGIN BLOCKCHAIN LIMITED and its subsidiaries (the “Company”) of our report dated July 31, 2025, relating to our audits of the consolidated financial statements of the Company as of December 31, 2024, and for each of the years in the two-year period ended December 31, 2024, which appears in the Company’s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ZH CPA, LLC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12"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18th Street, Suite 3000, Denver, CO, 80202 USA. Phone: 1.303.386.7224 Fax: 1.303.386.7101 Email: admin@zhcpa.us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11" w:name="ea030706201ex-fee.htm"/>
      <w:bookmarkStart w:id="12" w:name="ksea030706201exfee"/>
      <w:bookmarkEnd w:id="11"/>
      <w:bookmarkEnd w:id="1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BGIN BLOCKCHAIN LIMITED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1225" w:type="dxa"/>
        <w:jc w:val="left"/>
        <w:tblInd w:w="0" w:type="dxa"/>
        <w:tblLayout w:type="fixed"/>
        <w:tblCellMar>
          <w:top w:w="0" w:type="dxa"/>
          <w:left w:w="0" w:type="dxa"/>
          <w:bottom w:w="0" w:type="dxa"/>
          <w:right w:w="0" w:type="dxa"/>
        </w:tblCellMar>
      </w:tblPr>
      <w:tblGrid>
        <w:gridCol w:w="815"/>
        <w:gridCol w:w="60"/>
        <w:gridCol w:w="2480"/>
        <w:gridCol w:w="60"/>
        <w:gridCol w:w="575"/>
        <w:gridCol w:w="60"/>
        <w:gridCol w:w="1100"/>
        <w:gridCol w:w="60"/>
        <w:gridCol w:w="1025"/>
        <w:gridCol w:w="60"/>
        <w:gridCol w:w="240"/>
        <w:gridCol w:w="755"/>
        <w:gridCol w:w="60"/>
        <w:gridCol w:w="140"/>
        <w:gridCol w:w="1400"/>
        <w:gridCol w:w="60"/>
        <w:gridCol w:w="1040"/>
        <w:gridCol w:w="60"/>
        <w:gridCol w:w="162"/>
        <w:gridCol w:w="1013"/>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815"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248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Class A ordinary shares, US$0.0000695652173913043</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9,000,000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1.83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16,470,000.00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2,274.51</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9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16,470,000.00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2,274.51</w:t>
            </w:r>
          </w:p>
        </w:tc>
      </w:tr>
      <w:tr>
        <w:trPr/>
        <w:tc>
          <w:tcPr>
            <w:tcW w:w="729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729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2,274.51</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This registration statement on Form S-8 (this “Registration Statement”) registers Class A ordinary shares, par value of US$0.0000695652173913043 per share (the “Class A Ordinary Shares”), of BGIN BLOCKCHAIN LIMITED (the “Registrant”) issuable pursuant to the BGIN BLOCKCHAIN LIMITED Equity Incentive Plan (the “Plan”). In accordance with Rule 416(a) under the Securities Act of 1933, as amended (the “Securities Act”), this Registration Statement also covers an indeterminate number of additional securities which may be offered and issued under the Plan to prevent dilution from share splits, share dividends, or similar transactions as provided in the Plan.</w:t>
              <w:br/>
              <w:br/>
              <w:t>Estimated for the sole purpose of computing the registration fee in accordance with Rule 457(c) and Rule 457(h) under the Securities Act. The price per share and aggregate offering price are based on the average of the high and low prices of the Registrant’s Class A Ordinary Shares on September 24, 2026, as reported on the Nasdaq Global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945565/000121390026048532/ea0287441-20f_bgin.htm" TargetMode="External"/><Relationship Id="rId3" Type="http://schemas.openxmlformats.org/officeDocument/2006/relationships/hyperlink" Target="https://www.sec.gov/Archives/edgar/data/1945565/000121390025100258/ea0261725-8a12b_bginblock.htm" TargetMode="External"/><Relationship Id="rId4" Type="http://schemas.openxmlformats.org/officeDocument/2006/relationships/hyperlink" Target="https://www.sec.gov/Archives/edgar/data/1945565/000121390026048532/ea028744101ex2-2.htm" TargetMode="External"/><Relationship Id="rId5" Type="http://schemas.openxmlformats.org/officeDocument/2006/relationships/hyperlink" Target="https://www.sec.gov/Archives/edgar/data/1945565/000121390025015852/ea020275909ex4-1_bginblock.htm" TargetMode="External"/><Relationship Id="rId6" Type="http://schemas.openxmlformats.org/officeDocument/2006/relationships/hyperlink" Target="https://www.sec.gov/Archives/edgar/data/1945565/000121390026048532/ea028744101ex2-2.htm" TargetMode="External"/><Relationship Id="rId7" Type="http://schemas.openxmlformats.org/officeDocument/2006/relationships/hyperlink" Target="https://www.sec.gov/Archives/edgar/data/1945565/000121390025015852/ea020275909ex3-2_bginblock.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27039</Words>
  <Characters>140443</Characters>
  <CharactersWithSpaces>167563</CharactersWithSpaces>
  <Paragraphs>1559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